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公告附件:</w:t>
      </w:r>
    </w:p>
    <w:p>
      <w:pPr>
        <w:pStyle w:val="style0"/>
        <w:widowControl/>
        <w:topLinePunct/>
        <w:adjustRightInd w:val="false"/>
        <w:snapToGrid w:val="false"/>
        <w:spacing w:before="60" w:lineRule="auto" w:line="218"/>
        <w:jc w:val="center"/>
        <w:textAlignment w:val="baseline"/>
        <w:rPr/>
      </w:pPr>
      <w:r>
        <w:rPr>
          <w:rFonts w:ascii="宋体" w:cs="宋体" w:eastAsia="宋体" w:hAnsi="宋体" w:hint="default"/>
          <w:b/>
          <w:bCs/>
          <w:i w:val="false"/>
          <w:iCs w:val="false"/>
          <w:color w:val="auto"/>
          <w:kern w:val="2"/>
          <w:sz w:val="28"/>
          <w:szCs w:val="28"/>
          <w:highlight w:val="none"/>
          <w:vertAlign w:val="baseline"/>
          <w:em w:val="none"/>
          <w:lang w:val="en-US" w:bidi="ar-SA" w:eastAsia="zh-CN"/>
        </w:rPr>
        <w:t>附录</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1</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资格审查条件（资质最低要求）</w:t>
      </w:r>
    </w:p>
    <w:tbl>
      <w:tblPr>
        <w:tblW w:w="8327" w:type="dxa"/>
        <w:jc w:val="left"/>
        <w:tblCellMar>
          <w:top w:w="0" w:type="dxa"/>
          <w:left w:w="0" w:type="dxa"/>
          <w:bottom w:w="0" w:type="dxa"/>
          <w:right w:w="0" w:type="dxa"/>
        </w:tblCellMar>
      </w:tblPr>
      <w:tblGrid>
        <w:gridCol w:w="1573"/>
        <w:gridCol w:w="6777"/>
      </w:tblGrid>
      <w:tr>
        <w:trPr>
          <w:cantSplit w:val="false"/>
          <w:trHeight w:val="497" w:hRule="atLeast"/>
          <w:tblHeader w:val="false"/>
          <w:jc w:val="left"/>
        </w:trPr>
        <w:tc>
          <w:tcPr>
            <w:tcW w:w="1713" w:type="dxa"/>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采购编号</w:t>
            </w:r>
          </w:p>
        </w:tc>
        <w:tc>
          <w:tcPr>
            <w:tcW w:w="7494" w:type="dxa"/>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资质最低要求</w:t>
            </w:r>
          </w:p>
        </w:tc>
      </w:tr>
      <w:tr>
        <w:tblPrEx/>
        <w:trPr>
          <w:cantSplit w:val="false"/>
          <w:trHeight w:val="874" w:hRule="atLeast"/>
          <w:tblHeader w:val="false"/>
          <w:jc w:val="left"/>
        </w:trPr>
        <w:tc>
          <w:tcPr>
            <w:tcW w:w="1713" w:type="dxa"/>
            <w:tcBorders>
              <w:top w:val="single" w:sz="2" w:space="0" w:color="000000"/>
              <w:left w:val="single" w:sz="10" w:space="0" w:color="auto"/>
              <w:bottom w:val="single" w:sz="10" w:space="0" w:color="auto"/>
              <w:right w:val="single" w:sz="10" w:space="0" w:color="auto"/>
            </w:tcBorders>
            <w:tcMar>
              <w:top w:w="0" w:type="dxa"/>
              <w:left w:w="108" w:type="dxa"/>
              <w:bottom w:w="0" w:type="dxa"/>
              <w:right w:w="108" w:type="dxa"/>
            </w:tcMar>
            <w:vAlign w:val="center"/>
          </w:tcPr>
          <w:p>
            <w:pPr>
              <w:pStyle w:val="style0"/>
              <w:topLinePunct/>
              <w:spacing w:before="68" w:lineRule="auto" w:line="220"/>
              <w:jc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ZCWGGK-2023-04</w:t>
            </w:r>
          </w:p>
        </w:tc>
        <w:tc>
          <w:tcPr>
            <w:tcW w:w="7494" w:type="dxa"/>
            <w:tcBorders>
              <w:top w:val="single" w:sz="2" w:space="0" w:color="000000"/>
              <w:left w:val="single" w:sz="10" w:space="0" w:color="auto"/>
              <w:bottom w:val="single" w:sz="2" w:space="0" w:color="000000"/>
              <w:right w:val="single" w:sz="10" w:space="0" w:color="auto"/>
            </w:tcBorders>
            <w:tcMar>
              <w:top w:w="0" w:type="dxa"/>
              <w:left w:w="57" w:type="dxa"/>
              <w:bottom w:w="0" w:type="dxa"/>
              <w:right w:w="57" w:type="dxa"/>
            </w:tcMar>
            <w:vAlign w:val="center"/>
          </w:tcPr>
          <w:p>
            <w:pPr>
              <w:pStyle w:val="style0"/>
              <w:tabs>
                <w:tab w:val="left" w:leader="none" w:pos="300"/>
              </w:tabs>
              <w:topLinePunct/>
              <w:spacing w:before="68" w:lineRule="auto" w:line="24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供应商须是在中华人民共和国境内注册的独立法人，具备有效的营业执照或事业单位法人证书。</w:t>
            </w:r>
          </w:p>
          <w:p>
            <w:pPr>
              <w:pStyle w:val="style0"/>
              <w:tabs>
                <w:tab w:val="left" w:leader="none" w:pos="300"/>
              </w:tabs>
              <w:topLinePunct/>
              <w:spacing w:before="68" w:lineRule="auto" w:line="24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投标人具有工程咨询单位甲级资信（公路行业）评价或甲级综合资信评价。</w:t>
            </w:r>
          </w:p>
          <w:p>
            <w:pPr>
              <w:pStyle w:val="style0"/>
              <w:tabs>
                <w:tab w:val="left" w:leader="none" w:pos="300"/>
              </w:tabs>
              <w:topLinePunct/>
              <w:spacing w:before="68" w:lineRule="auto" w:line="24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通过全国投资项目在线审批监管平台备案并列入公示名录，且工程咨询专业必须包含“公路”，工程咨询服务范围必须包含“项目咨询”。</w:t>
            </w:r>
          </w:p>
        </w:tc>
      </w:tr>
    </w:tbl>
    <w:p>
      <w:pPr>
        <w:pStyle w:val="style0"/>
        <w:widowControl/>
        <w:topLinePunct/>
        <w:adjustRightInd w:val="false"/>
        <w:snapToGrid w:val="false"/>
        <w:spacing w:before="60" w:lineRule="auto" w:line="218"/>
        <w:jc w:val="center"/>
        <w:textAlignment w:val="baseline"/>
        <w:rPr/>
      </w:pPr>
    </w:p>
    <w:p>
      <w:pPr>
        <w:pStyle w:val="style0"/>
        <w:widowControl/>
        <w:topLinePunct/>
        <w:adjustRightInd w:val="false"/>
        <w:snapToGrid w:val="false"/>
        <w:spacing w:before="60" w:lineRule="auto" w:line="218"/>
        <w:jc w:val="center"/>
        <w:textAlignment w:val="baseline"/>
        <w:rPr/>
      </w:pPr>
      <w:r>
        <w:rPr>
          <w:rFonts w:ascii="宋体" w:cs="宋体" w:eastAsia="宋体" w:hAnsi="宋体" w:hint="default"/>
          <w:b/>
          <w:bCs/>
          <w:i w:val="false"/>
          <w:iCs w:val="false"/>
          <w:color w:val="auto"/>
          <w:kern w:val="2"/>
          <w:sz w:val="28"/>
          <w:szCs w:val="28"/>
          <w:highlight w:val="none"/>
          <w:vertAlign w:val="baseline"/>
          <w:em w:val="none"/>
          <w:lang w:val="en-US" w:bidi="ar-SA" w:eastAsia="zh-CN"/>
        </w:rPr>
        <w:t>附录</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2</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资格审查条件（业绩最低要求）</w:t>
      </w:r>
    </w:p>
    <w:tbl>
      <w:tblPr>
        <w:tblW w:w="8350" w:type="dxa"/>
        <w:jc w:val="left"/>
        <w:tblCellMar>
          <w:top w:w="0" w:type="dxa"/>
          <w:left w:w="0" w:type="dxa"/>
          <w:bottom w:w="0" w:type="dxa"/>
          <w:right w:w="0" w:type="dxa"/>
        </w:tblCellMar>
      </w:tblPr>
      <w:tblGrid>
        <w:gridCol w:w="1573"/>
        <w:gridCol w:w="6832"/>
      </w:tblGrid>
      <w:tr>
        <w:trPr>
          <w:cantSplit w:val="false"/>
          <w:trHeight w:val="433" w:hRule="atLeast"/>
          <w:tblHeader w:val="false"/>
          <w:jc w:val="left"/>
        </w:trPr>
        <w:tc>
          <w:tcPr>
            <w:tcW w:w="1678" w:type="dxa"/>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采购编号</w:t>
            </w:r>
          </w:p>
        </w:tc>
        <w:tc>
          <w:tcPr>
            <w:tcW w:w="7555" w:type="dxa"/>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业绩最低要求</w:t>
            </w:r>
          </w:p>
        </w:tc>
      </w:tr>
      <w:tr>
        <w:tblPrEx/>
        <w:trPr>
          <w:cantSplit w:val="false"/>
          <w:trHeight w:val="887" w:hRule="atLeast"/>
          <w:tblHeader w:val="false"/>
          <w:jc w:val="left"/>
        </w:trPr>
        <w:tc>
          <w:tcPr>
            <w:tcW w:w="1678" w:type="dxa"/>
            <w:tcBorders>
              <w:top w:val="single" w:sz="2" w:space="0" w:color="000000"/>
              <w:left w:val="single" w:sz="10" w:space="0" w:color="auto"/>
              <w:bottom w:val="single" w:sz="2" w:space="0" w:color="000000"/>
              <w:right w:val="single" w:sz="10" w:space="0" w:color="auto"/>
            </w:tcBorders>
            <w:tcMar>
              <w:top w:w="0" w:type="dxa"/>
              <w:left w:w="108" w:type="dxa"/>
              <w:bottom w:w="0" w:type="dxa"/>
              <w:right w:w="108" w:type="dxa"/>
            </w:tcMar>
            <w:vAlign w:val="center"/>
          </w:tcPr>
          <w:p>
            <w:pPr>
              <w:pStyle w:val="style0"/>
              <w:topLinePunct/>
              <w:spacing w:before="68" w:lineRule="auto" w:line="220"/>
              <w:jc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ZCWGGK-2023-04</w:t>
            </w:r>
          </w:p>
        </w:tc>
        <w:tc>
          <w:tcPr>
            <w:tcW w:w="7555" w:type="dxa"/>
            <w:tcBorders>
              <w:top w:val="single" w:sz="2" w:space="0" w:color="000000"/>
              <w:left w:val="single" w:sz="10" w:space="0" w:color="auto"/>
              <w:bottom w:val="single" w:sz="2" w:space="0" w:color="000000"/>
              <w:right w:val="single" w:sz="10" w:space="0" w:color="auto"/>
            </w:tcBorders>
            <w:tcMar>
              <w:top w:w="57" w:type="dxa"/>
              <w:left w:w="57" w:type="dxa"/>
              <w:bottom w:w="57" w:type="dxa"/>
              <w:right w:w="57" w:type="dxa"/>
            </w:tcMar>
            <w:vAlign w:val="center"/>
          </w:tcPr>
          <w:p>
            <w:pPr>
              <w:pStyle w:val="style0"/>
              <w:spacing w:lineRule="auto" w:line="240"/>
              <w:jc w:val="both"/>
              <w:rPr/>
            </w:pPr>
            <w:r>
              <w:rPr>
                <w:rFonts w:ascii="宋体" w:cs="宋体" w:eastAsia="宋体" w:hAnsi="宋体" w:hint="default"/>
                <w:b w:val="false"/>
                <w:bCs w:val="false"/>
                <w:i w:val="false"/>
                <w:iCs w:val="false"/>
                <w:snapToGrid w:val="false"/>
                <w:color w:val="auto"/>
                <w:kern w:val="0"/>
                <w:sz w:val="21"/>
                <w:szCs w:val="21"/>
                <w:highlight w:val="none"/>
                <w:vertAlign w:val="baseline"/>
                <w:em w:val="none"/>
                <w:lang w:val="en-US" w:bidi="ar-SA" w:eastAsia="zh-CN"/>
              </w:rPr>
              <w:t>近5年（2019年1月1日至投标截止日，以合同协议书签订时间发出时间为准，需提供合同文件）至少承担过1项一级及以上公路工程可行性研究报告编制工作。</w:t>
            </w:r>
          </w:p>
        </w:tc>
      </w:tr>
      <w:tr>
        <w:tblPrEx/>
        <w:trPr>
          <w:cantSplit w:val="false"/>
          <w:trHeight w:val="709" w:hRule="atLeast"/>
          <w:tblHeader w:val="false"/>
          <w:jc w:val="left"/>
        </w:trPr>
        <w:tc>
          <w:tcPr>
            <w:tcW w:w="9233" w:type="dxa"/>
            <w:gridSpan w:val="2"/>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spacing w:lineRule="auto" w:line="240"/>
              <w:jc w:val="both"/>
              <w:rPr/>
            </w:pPr>
            <w:r>
              <w:rPr>
                <w:rFonts w:ascii="宋体" w:cs="宋体" w:eastAsia="宋体" w:hAnsi="宋体" w:hint="default"/>
                <w:b w:val="false"/>
                <w:bCs w:val="false"/>
                <w:i w:val="false"/>
                <w:iCs w:val="false"/>
                <w:snapToGrid w:val="false"/>
                <w:color w:val="auto"/>
                <w:spacing w:val="-2"/>
                <w:kern w:val="2"/>
                <w:sz w:val="21"/>
                <w:szCs w:val="21"/>
                <w:highlight w:val="none"/>
                <w:vertAlign w:val="baseline"/>
                <w:em w:val="none"/>
                <w:lang w:val="en-US" w:bidi="ar-SA" w:eastAsia="zh-CN"/>
              </w:rPr>
              <w:t>注：在对投标人进行业绩审查时，与投标人具有投资参股关系的关联企业，或具有直接管理和被管理关系的母子公司的业绩不能作为投标人的业绩。</w:t>
            </w:r>
            <w:r>
              <w:rPr>
                <w:rFonts w:ascii="宋体" w:cs="宋体" w:eastAsia="宋体" w:hAnsi="宋体" w:hint="default"/>
                <w:b w:val="false"/>
                <w:bCs w:val="false"/>
                <w:i w:val="false"/>
                <w:iCs w:val="false"/>
                <w:snapToGrid w:val="false"/>
                <w:color w:val="auto"/>
                <w:spacing w:val="-2"/>
                <w:kern w:val="2"/>
                <w:sz w:val="21"/>
                <w:szCs w:val="21"/>
                <w:highlight w:val="none"/>
                <w:vertAlign w:val="baseline"/>
                <w:em w:val="none"/>
                <w:lang w:val="en-US" w:bidi="ar-SA" w:eastAsia="zh-CN"/>
              </w:rPr>
              <w:t xml:space="preserve"> </w:t>
            </w:r>
          </w:p>
        </w:tc>
      </w:tr>
    </w:tbl>
    <w:p>
      <w:pPr>
        <w:pStyle w:val="style0"/>
        <w:widowControl/>
        <w:topLinePunct/>
        <w:adjustRightInd w:val="false"/>
        <w:snapToGrid w:val="false"/>
        <w:spacing w:before="60" w:lineRule="auto" w:line="218"/>
        <w:jc w:val="center"/>
        <w:textAlignment w:val="baseline"/>
        <w:rPr/>
      </w:pPr>
    </w:p>
    <w:p>
      <w:pPr>
        <w:pStyle w:val="style0"/>
        <w:widowControl/>
        <w:topLinePunct/>
        <w:adjustRightInd w:val="false"/>
        <w:snapToGrid w:val="false"/>
        <w:spacing w:before="60" w:lineRule="auto" w:line="218"/>
        <w:jc w:val="center"/>
        <w:textAlignment w:val="baseline"/>
        <w:rPr/>
      </w:pPr>
      <w:r>
        <w:rPr>
          <w:rFonts w:ascii="宋体" w:cs="宋体" w:eastAsia="宋体" w:hAnsi="宋体" w:hint="default"/>
          <w:b/>
          <w:bCs/>
          <w:i w:val="false"/>
          <w:iCs w:val="false"/>
          <w:color w:val="auto"/>
          <w:kern w:val="2"/>
          <w:sz w:val="28"/>
          <w:szCs w:val="28"/>
          <w:highlight w:val="none"/>
          <w:vertAlign w:val="baseline"/>
          <w:em w:val="none"/>
          <w:lang w:val="en-US" w:bidi="ar-SA" w:eastAsia="zh-CN"/>
        </w:rPr>
        <w:t>附录</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3</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资格审查条件（信誉最低要求）</w:t>
      </w:r>
    </w:p>
    <w:tbl>
      <w:tblPr>
        <w:tblW w:w="8306" w:type="dxa"/>
        <w:jc w:val="left"/>
        <w:tblCellMar>
          <w:top w:w="0" w:type="dxa"/>
          <w:left w:w="0" w:type="dxa"/>
          <w:bottom w:w="0" w:type="dxa"/>
          <w:right w:w="0" w:type="dxa"/>
        </w:tblCellMar>
      </w:tblPr>
      <w:tblGrid>
        <w:gridCol w:w="8306"/>
      </w:tblGrid>
      <w:tr>
        <w:trPr>
          <w:cantSplit w:val="false"/>
          <w:trHeight w:val="172" w:hRule="atLeast"/>
          <w:tblHeader w:val="false"/>
          <w:jc w:val="left"/>
        </w:trPr>
        <w:tc>
          <w:tcPr>
            <w:tcW w:w="9184" w:type="dxa"/>
            <w:tcBorders>
              <w:top w:val="single" w:sz="2" w:space="0" w:color="000000"/>
              <w:left w:val="single" w:sz="10" w:space="0" w:color="auto"/>
              <w:bottom w:val="single" w:sz="2" w:space="0" w:color="000000"/>
              <w:right w:val="single" w:sz="10" w:space="0" w:color="auto"/>
            </w:tcBorders>
            <w:tcMar>
              <w:top w:w="0" w:type="dxa"/>
              <w:left w:w="0" w:type="dxa"/>
              <w:bottom w:w="0" w:type="dxa"/>
              <w:right w:w="0" w:type="dxa"/>
            </w:tcMar>
            <w:vAlign w:val="center"/>
          </w:tcPr>
          <w:p>
            <w:pPr>
              <w:pStyle w:val="style0"/>
              <w:topLinePunct/>
              <w:spacing w:before="69"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信</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 xml:space="preserve"> </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誉</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 xml:space="preserve"> </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要</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 xml:space="preserve"> </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求</w:t>
            </w:r>
          </w:p>
        </w:tc>
      </w:tr>
      <w:tr>
        <w:tblPrEx/>
        <w:trPr>
          <w:cantSplit w:val="false"/>
          <w:trHeight w:val="503" w:hRule="atLeast"/>
          <w:tblHeader w:val="false"/>
          <w:jc w:val="left"/>
        </w:trPr>
        <w:tc>
          <w:tcPr>
            <w:tcW w:w="9184" w:type="dxa"/>
            <w:tcBorders>
              <w:top w:val="single" w:sz="2" w:space="0" w:color="000000"/>
              <w:left w:val="single" w:sz="10" w:space="0" w:color="auto"/>
              <w:bottom w:val="single" w:sz="2" w:space="0" w:color="000000"/>
              <w:right w:val="single" w:sz="10" w:space="0" w:color="auto"/>
            </w:tcBorders>
            <w:tcMar>
              <w:top w:w="57" w:type="dxa"/>
              <w:left w:w="57" w:type="dxa"/>
              <w:bottom w:w="57" w:type="dxa"/>
              <w:right w:w="57" w:type="dxa"/>
            </w:tcMar>
            <w:vAlign w:val="center"/>
          </w:tcPr>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供应商不得存在下列情形之一：</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（1）</w:t>
            </w: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被省级及以上交通运输主管部门取消采购项目所在地的投标资格且处于有效期内；</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（2）被责令停业，暂扣或吊销执照，或吊销资质证书；</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（3）进入清算程序，或被宣告破产，或其他丧失履约能力的情形；</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（4）在国家企业信用信息公示系统（http://www.gsxt.gov.cn/）中被列入严重违法失信企业名单；</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（5）在“信用中国”网站（http://www.creditchina.gov.cn/）中被列入失信被执行人名单；</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（6）近三年履约情况良好，没有骗取中标或严重违约、重大质量标准问题、无行贿受贿等不良记录；</w:t>
            </w:r>
          </w:p>
          <w:p>
            <w:pPr>
              <w:pStyle w:val="style0"/>
              <w:spacing w:lineRule="auto" w:line="240"/>
              <w:ind w:firstLine="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（7）法律法规或供应商须知前附表规定的其他情形。</w:t>
            </w:r>
          </w:p>
        </w:tc>
      </w:tr>
    </w:tbl>
    <w:p>
      <w:pPr>
        <w:pStyle w:val="style0"/>
        <w:widowControl/>
        <w:topLinePunct/>
        <w:adjustRightInd w:val="false"/>
        <w:snapToGrid w:val="false"/>
        <w:spacing w:before="60" w:lineRule="auto" w:line="218"/>
        <w:jc w:val="center"/>
        <w:textAlignment w:val="baseline"/>
        <w:rPr/>
      </w:pPr>
    </w:p>
    <w:p>
      <w:pPr>
        <w:pStyle w:val="style0"/>
        <w:widowControl/>
        <w:topLinePunct/>
        <w:adjustRightInd w:val="false"/>
        <w:snapToGrid w:val="false"/>
        <w:spacing w:before="60" w:lineRule="auto" w:line="218"/>
        <w:jc w:val="center"/>
        <w:textAlignment w:val="baseline"/>
        <w:rPr/>
      </w:pPr>
      <w:r>
        <w:rPr>
          <w:rFonts w:ascii="宋体" w:cs="宋体" w:eastAsia="宋体" w:hAnsi="宋体" w:hint="default"/>
          <w:b/>
          <w:bCs/>
          <w:i w:val="false"/>
          <w:iCs w:val="false"/>
          <w:color w:val="auto"/>
          <w:kern w:val="2"/>
          <w:sz w:val="28"/>
          <w:szCs w:val="28"/>
          <w:highlight w:val="none"/>
          <w:vertAlign w:val="baseline"/>
          <w:em w:val="none"/>
          <w:lang w:val="en-US" w:bidi="ar-SA" w:eastAsia="zh-CN"/>
        </w:rPr>
        <w:t>附录</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4</w:t>
      </w:r>
      <w:r>
        <w:rPr>
          <w:rFonts w:ascii="宋体" w:cs="宋体" w:eastAsia="宋体" w:hAnsi="宋体" w:hint="default"/>
          <w:b/>
          <w:bCs/>
          <w:i w:val="false"/>
          <w:iCs w:val="false"/>
          <w:color w:val="auto"/>
          <w:kern w:val="2"/>
          <w:sz w:val="28"/>
          <w:szCs w:val="28"/>
          <w:highlight w:val="none"/>
          <w:vertAlign w:val="baseline"/>
          <w:em w:val="none"/>
          <w:lang w:val="en-US" w:bidi="ar-SA" w:eastAsia="zh-CN"/>
        </w:rPr>
        <w:t xml:space="preserve">  </w:t>
      </w:r>
      <w:r>
        <w:rPr>
          <w:rFonts w:ascii="宋体" w:cs="宋体" w:eastAsia="宋体" w:hAnsi="宋体" w:hint="default"/>
          <w:b/>
          <w:bCs/>
          <w:i w:val="false"/>
          <w:iCs w:val="false"/>
          <w:color w:val="auto"/>
          <w:kern w:val="2"/>
          <w:sz w:val="28"/>
          <w:szCs w:val="28"/>
          <w:highlight w:val="none"/>
          <w:vertAlign w:val="baseline"/>
          <w:em w:val="none"/>
          <w:lang w:val="en-US" w:bidi="ar-SA" w:eastAsia="zh-CN"/>
        </w:rPr>
        <w:t>资格审查条件（人员最低要求）</w:t>
      </w:r>
    </w:p>
    <w:tbl>
      <w:tblPr>
        <w:tblW w:w="8415" w:type="dxa"/>
        <w:jc w:val="left"/>
        <w:tblCellMar>
          <w:top w:w="0" w:type="dxa"/>
          <w:left w:w="0" w:type="dxa"/>
          <w:bottom w:w="0" w:type="dxa"/>
          <w:right w:w="0" w:type="dxa"/>
        </w:tblCellMar>
      </w:tblPr>
      <w:tblGrid>
        <w:gridCol w:w="1573"/>
        <w:gridCol w:w="1248"/>
        <w:gridCol w:w="927"/>
        <w:gridCol w:w="4689"/>
      </w:tblGrid>
      <w:tr>
        <w:trPr>
          <w:cantSplit w:val="false"/>
          <w:trHeight w:val="539" w:hRule="atLeast"/>
          <w:tblHeader w:val="false"/>
          <w:jc w:val="left"/>
        </w:trPr>
        <w:tc>
          <w:tcPr>
            <w:tcW w:w="1714" w:type="dxa"/>
            <w:tcBorders>
              <w:top w:val="single" w:sz="2" w:space="0" w:color="auto"/>
              <w:left w:val="single" w:sz="10" w:space="0" w:color="000000"/>
              <w:bottom w:val="single" w:sz="2" w:space="0" w:color="auto"/>
              <w:right w:val="single" w:sz="10" w:space="0" w:color="000000"/>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采购编号</w:t>
            </w:r>
          </w:p>
        </w:tc>
        <w:tc>
          <w:tcPr>
            <w:tcW w:w="1380" w:type="dxa"/>
            <w:tcBorders>
              <w:top w:val="single" w:sz="2" w:space="0" w:color="auto"/>
              <w:left w:val="single" w:sz="10" w:space="0" w:color="000000"/>
              <w:bottom w:val="single" w:sz="2" w:space="0" w:color="auto"/>
              <w:right w:val="single" w:sz="2"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人</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 xml:space="preserve">  </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员</w:t>
            </w:r>
          </w:p>
        </w:tc>
        <w:tc>
          <w:tcPr>
            <w:tcW w:w="102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数</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 xml:space="preserve">  </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量</w:t>
            </w:r>
          </w:p>
        </w:tc>
        <w:tc>
          <w:tcPr>
            <w:tcW w:w="5184" w:type="dxa"/>
            <w:tcBorders>
              <w:top w:val="single" w:sz="2" w:space="0" w:color="auto"/>
              <w:left w:val="single" w:sz="2" w:space="0" w:color="auto"/>
              <w:bottom w:val="single" w:sz="2" w:space="0" w:color="auto"/>
              <w:right w:val="single" w:sz="10" w:space="0" w:color="000000"/>
            </w:tcBorders>
            <w:tcMar>
              <w:top w:w="0" w:type="dxa"/>
              <w:left w:w="0" w:type="dxa"/>
              <w:bottom w:w="0" w:type="dxa"/>
              <w:right w:w="0" w:type="dxa"/>
            </w:tcMar>
            <w:vAlign w:val="center"/>
          </w:tcPr>
          <w:p>
            <w:pPr>
              <w:pStyle w:val="style0"/>
              <w:topLinePunct/>
              <w:spacing w:before="68" w:lineRule="auto" w:line="220"/>
              <w:jc w:val="center"/>
              <w:rPr/>
            </w:pP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人员</w:t>
            </w:r>
            <w:r>
              <w:rPr>
                <w:rFonts w:ascii="宋体" w:cs="宋体" w:eastAsia="宋体" w:hAnsi="宋体" w:hint="default"/>
                <w:b/>
                <w:bCs/>
                <w:i w:val="false"/>
                <w:iCs w:val="false"/>
                <w:color w:val="auto"/>
                <w:spacing w:val="3"/>
                <w:kern w:val="2"/>
                <w:sz w:val="21"/>
                <w:szCs w:val="21"/>
                <w:highlight w:val="none"/>
                <w:vertAlign w:val="baseline"/>
                <w:em w:val="none"/>
                <w:lang w:val="en-US" w:bidi="ar-SA" w:eastAsia="zh-CN"/>
              </w:rPr>
              <w:t>最低要求</w:t>
            </w:r>
          </w:p>
        </w:tc>
      </w:tr>
      <w:tr>
        <w:tblPrEx/>
        <w:trPr>
          <w:cantSplit w:val="false"/>
          <w:trHeight w:val="307" w:hRule="atLeast"/>
          <w:tblHeader w:val="false"/>
          <w:jc w:val="left"/>
        </w:trPr>
        <w:tc>
          <w:tcPr>
            <w:tcW w:w="1714" w:type="dxa"/>
            <w:tcBorders>
              <w:top w:val="single" w:sz="2" w:space="0" w:color="auto"/>
              <w:left w:val="single" w:sz="10" w:space="0" w:color="000000"/>
              <w:bottom w:val="single" w:sz="2" w:space="0" w:color="auto"/>
              <w:right w:val="single" w:sz="10" w:space="0" w:color="000000"/>
            </w:tcBorders>
            <w:tcMar>
              <w:top w:w="0" w:type="dxa"/>
              <w:left w:w="108" w:type="dxa"/>
              <w:bottom w:w="0" w:type="dxa"/>
              <w:right w:w="108" w:type="dxa"/>
            </w:tcMar>
            <w:vAlign w:val="center"/>
          </w:tcPr>
          <w:p>
            <w:pPr>
              <w:pStyle w:val="style0"/>
              <w:topLinePunct/>
              <w:spacing w:before="68" w:lineRule="auto" w:line="220"/>
              <w:jc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ZCWGGK-2023-04</w:t>
            </w:r>
          </w:p>
        </w:tc>
        <w:tc>
          <w:tcPr>
            <w:tcW w:w="1380" w:type="dxa"/>
            <w:tcBorders>
              <w:top w:val="single" w:sz="2" w:space="0" w:color="auto"/>
              <w:left w:val="single" w:sz="10" w:space="0" w:color="000000"/>
              <w:bottom w:val="single" w:sz="2" w:space="0" w:color="auto"/>
              <w:right w:val="single" w:sz="2" w:space="0" w:color="auto"/>
            </w:tcBorders>
            <w:tcMar>
              <w:top w:w="0" w:type="dxa"/>
              <w:left w:w="108" w:type="dxa"/>
              <w:bottom w:w="0" w:type="dxa"/>
              <w:right w:w="108" w:type="dxa"/>
            </w:tcMar>
            <w:vAlign w:val="center"/>
          </w:tcPr>
          <w:p>
            <w:pPr>
              <w:pStyle w:val="style0"/>
              <w:topLinePunct/>
              <w:spacing w:lineRule="auto" w:line="360"/>
              <w:jc w:val="center"/>
              <w:rPr/>
            </w:pPr>
            <w:r>
              <w:rPr>
                <w:rFonts w:ascii="宋体" w:cs="宋体" w:eastAsia="宋体" w:hAnsi="宋体" w:hint="default"/>
                <w:b w:val="false"/>
                <w:bCs w:val="false"/>
                <w:i w:val="false"/>
                <w:iCs w:val="false"/>
                <w:color w:val="auto"/>
                <w:spacing w:val="-2"/>
                <w:kern w:val="2"/>
                <w:sz w:val="21"/>
                <w:szCs w:val="21"/>
                <w:highlight w:val="none"/>
                <w:vertAlign w:val="baseline"/>
                <w:em w:val="none"/>
                <w:lang w:val="en-US" w:bidi="ar-SA" w:eastAsia="zh-CN"/>
              </w:rPr>
              <w:t>项目负责人</w:t>
            </w:r>
          </w:p>
        </w:tc>
        <w:tc>
          <w:tcPr>
            <w:tcW w:w="1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pPr>
              <w:pStyle w:val="style0"/>
              <w:topLinePunct/>
              <w:spacing w:lineRule="auto" w:line="360"/>
              <w:jc w:val="center"/>
              <w:rPr/>
            </w:pPr>
            <w:r>
              <w:rPr>
                <w:rFonts w:ascii="宋体" w:cs="宋体" w:eastAsia="宋体" w:hAnsi="宋体" w:hint="default"/>
                <w:b w:val="false"/>
                <w:bCs w:val="false"/>
                <w:i w:val="false"/>
                <w:iCs w:val="false"/>
                <w:color w:val="auto"/>
                <w:spacing w:val="-2"/>
                <w:kern w:val="2"/>
                <w:sz w:val="21"/>
                <w:szCs w:val="21"/>
                <w:highlight w:val="none"/>
                <w:vertAlign w:val="baseline"/>
                <w:em w:val="none"/>
                <w:lang w:val="en-US" w:bidi="ar-SA" w:eastAsia="zh-CN"/>
              </w:rPr>
              <w:t>1</w:t>
            </w:r>
          </w:p>
        </w:tc>
        <w:tc>
          <w:tcPr>
            <w:tcW w:w="5184" w:type="dxa"/>
            <w:tcBorders>
              <w:top w:val="single" w:sz="2" w:space="0" w:color="auto"/>
              <w:left w:val="single" w:sz="2" w:space="0" w:color="auto"/>
              <w:bottom w:val="single" w:sz="2" w:space="0" w:color="auto"/>
              <w:right w:val="single" w:sz="10" w:space="0" w:color="000000"/>
            </w:tcBorders>
            <w:tcMar>
              <w:top w:w="57" w:type="dxa"/>
              <w:left w:w="57" w:type="dxa"/>
              <w:bottom w:w="57" w:type="dxa"/>
              <w:right w:w="57" w:type="dxa"/>
            </w:tcMar>
            <w:vAlign w:val="center"/>
          </w:tcPr>
          <w:p>
            <w:pPr>
              <w:pStyle w:val="style0"/>
              <w:spacing w:lineRule="auto" w:line="240"/>
              <w:ind w:left="0" w:leftChars="0" w:firstLine="0" w:firstLineChars="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1</w:t>
            </w: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.高级工程师</w:t>
            </w:r>
          </w:p>
          <w:p>
            <w:pPr>
              <w:pStyle w:val="style0"/>
              <w:spacing w:lineRule="auto" w:line="240"/>
              <w:ind w:left="0" w:leftChars="0" w:firstLine="0" w:firstLineChars="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2.具有咨询工程师（投资）登记证书且执业单位与投标人名称一致；</w:t>
            </w:r>
          </w:p>
          <w:p>
            <w:pPr>
              <w:pStyle w:val="style0"/>
              <w:spacing w:lineRule="auto" w:line="240"/>
              <w:ind w:left="0" w:leftChars="0" w:firstLine="0" w:firstLineChars="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3.</w:t>
            </w: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近五年（2019年1月1日至投标截止日，以合同协议书签订时间发出时间为准，需提供合同文件）</w:t>
            </w: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至少担任过1项一级及以上公路工程可行性研究报告编制工作；</w:t>
            </w:r>
          </w:p>
          <w:p>
            <w:pPr>
              <w:pStyle w:val="style0"/>
              <w:spacing w:lineRule="auto" w:line="240"/>
              <w:ind w:left="0" w:leftChars="0" w:firstLine="0" w:firstLineChars="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4.必须在本单位工作。</w:t>
            </w:r>
          </w:p>
        </w:tc>
      </w:tr>
      <w:tr>
        <w:tblPrEx/>
        <w:trPr>
          <w:cantSplit w:val="false"/>
          <w:trHeight w:val="771" w:hRule="atLeast"/>
          <w:tblHeader w:val="false"/>
          <w:jc w:val="left"/>
        </w:trPr>
        <w:tc>
          <w:tcPr>
            <w:tcW w:w="9303" w:type="dxa"/>
            <w:gridSpan w:val="4"/>
            <w:tcBorders>
              <w:top w:val="single" w:sz="2" w:space="0" w:color="auto"/>
              <w:left w:val="single" w:sz="10" w:space="0" w:color="000000"/>
              <w:bottom w:val="single" w:sz="2" w:space="0" w:color="auto"/>
              <w:right w:val="single" w:sz="10" w:space="0" w:color="000000"/>
            </w:tcBorders>
            <w:tcMar>
              <w:top w:w="0" w:type="dxa"/>
              <w:left w:w="0" w:type="dxa"/>
              <w:bottom w:w="0" w:type="dxa"/>
              <w:right w:w="0" w:type="dxa"/>
            </w:tcMar>
            <w:vAlign w:val="center"/>
          </w:tcPr>
          <w:p>
            <w:pPr>
              <w:pStyle w:val="style0"/>
              <w:spacing w:lineRule="auto" w:line="240"/>
              <w:ind w:left="0" w:leftChars="0" w:firstLine="0" w:firstLineChars="0"/>
              <w:jc w:val="both"/>
              <w:rPr/>
            </w:pPr>
            <w:r>
              <w:rPr>
                <w:rFonts w:ascii="宋体" w:cs="宋体" w:eastAsia="宋体" w:hAnsi="宋体" w:hint="default"/>
                <w:b w:val="false"/>
                <w:bCs w:val="false"/>
                <w:i w:val="false"/>
                <w:iCs w:val="false"/>
                <w:color w:val="auto"/>
                <w:kern w:val="0"/>
                <w:sz w:val="21"/>
                <w:szCs w:val="20"/>
                <w:highlight w:val="none"/>
                <w:vertAlign w:val="baseline"/>
                <w:em w:val="none"/>
                <w:lang w:val="en-US" w:bidi="ar-SA" w:eastAsia="zh-CN"/>
              </w:rPr>
              <w:t>注：</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必须在本单位工作：项目负责人需提供在社保系统打印的本单位人员缴费明细的有效证明材料复印件（出具期限为：2022</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年</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1</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月-至今，至少连续</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3</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个月）。</w:t>
            </w:r>
            <w:r>
              <w:rPr>
                <w:rFonts w:ascii="宋体" w:cs="宋体" w:eastAsia="宋体" w:hAnsi="宋体" w:hint="default"/>
                <w:b w:val="false"/>
                <w:bCs w:val="false"/>
                <w:i w:val="false"/>
                <w:iCs w:val="false"/>
                <w:snapToGrid w:val="false"/>
                <w:color w:val="000000"/>
                <w:kern w:val="0"/>
                <w:sz w:val="21"/>
                <w:szCs w:val="21"/>
                <w:highlight w:val="none"/>
                <w:vertAlign w:val="baseline"/>
                <w:em w:val="none"/>
                <w:lang w:val="en-US" w:eastAsia="zh-CN"/>
              </w:rPr>
              <w:t xml:space="preserve"> </w:t>
            </w:r>
          </w:p>
        </w:tc>
      </w:tr>
    </w:tbl>
    <w:p>
      <w:pPr>
        <w:spacing w:lineRule="auto" w:line="240"/>
        <w:jc w:val="center"/>
        <w:rPr/>
      </w:pPr>
      <w:r>
        <w:rPr>
          <w:rFonts w:ascii="宋体" w:cs="宋体" w:eastAsia="宋体" w:hAnsi="宋体" w:hint="default"/>
          <w:b/>
          <w:bCs/>
          <w:i w:val="false"/>
          <w:iCs w:val="false"/>
          <w:color w:val="auto"/>
          <w:kern w:val="0"/>
          <w:sz w:val="28"/>
          <w:szCs w:val="28"/>
          <w:highlight w:val="none"/>
          <w:vertAlign w:val="baseline"/>
          <w:em w:val="none"/>
          <w:lang w:val="en-US" w:bidi="ar-SA" w:eastAsia="zh-CN"/>
        </w:rPr>
        <w:t>评审办法前附表</w:t>
      </w:r>
    </w:p>
    <w:tbl>
      <w:tblPr>
        <w:jc w:val="left"/>
        <w:tblLayout w:type="fixed"/>
        <w:tblCellMar>
          <w:top w:w="0" w:type="dxa"/>
          <w:left w:w="108" w:type="dxa"/>
          <w:bottom w:w="0" w:type="dxa"/>
          <w:right w:w="108" w:type="dxa"/>
        </w:tblCellMar>
      </w:tblPr>
      <w:tblGrid>
        <w:gridCol w:w="903"/>
        <w:gridCol w:w="1067"/>
        <w:gridCol w:w="1983"/>
        <w:gridCol w:w="5425"/>
      </w:tblGrid>
      <w:tr>
        <w:trPr>
          <w:cantSplit w:val="false"/>
          <w:trHeight w:val="659" w:hRule="atLeast"/>
          <w:tblHeader w:val="false"/>
          <w:jc w:val="left"/>
        </w:trPr>
        <w:tc>
          <w:tcPr>
            <w:tcW w:w="1970" w:type="dxa"/>
            <w:gridSpan w:val="2"/>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条款号及名称</w:t>
            </w:r>
          </w:p>
        </w:tc>
        <w:tc>
          <w:tcPr>
            <w:tcW w:w="1983"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评审因素</w:t>
            </w:r>
          </w:p>
        </w:tc>
        <w:tc>
          <w:tcPr>
            <w:tcW w:w="5425"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评审标准</w:t>
            </w:r>
          </w:p>
        </w:tc>
      </w:tr>
      <w:tr>
        <w:tblPrEx/>
        <w:trPr>
          <w:cantSplit w:val="false"/>
          <w:trHeight w:val="731" w:hRule="atLeast"/>
          <w:tblHeader w:val="false"/>
          <w:jc w:val="left"/>
        </w:trPr>
        <w:tc>
          <w:tcPr>
            <w:tcW w:w="90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1</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评审方法</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评审方法</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□最低价法</w:t>
            </w:r>
          </w:p>
          <w:p>
            <w:pPr>
              <w:spacing w:lineRule="auto" w:line="240"/>
              <w:jc w:val="both"/>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sym w:font="Wingdings" w:char="f0fe"/>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综合评分法</w:t>
            </w:r>
          </w:p>
          <w:p>
            <w:pPr>
              <w:spacing w:lineRule="auto" w:line="240"/>
              <w:jc w:val="both"/>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综合评分相等时，评审小组依次按照以下优先顺序推荐成交候选人：</w:t>
            </w:r>
          </w:p>
          <w:p>
            <w:pPr>
              <w:spacing w:lineRule="auto" w:line="240"/>
              <w:jc w:val="both"/>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（1）评审价低的供应商优先；</w:t>
            </w:r>
          </w:p>
          <w:p>
            <w:pPr>
              <w:spacing w:lineRule="auto" w:line="240"/>
              <w:jc w:val="both"/>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（2）技术评分得分高的优先；</w:t>
            </w:r>
          </w:p>
          <w:p>
            <w:pPr>
              <w:spacing w:lineRule="auto" w:line="240"/>
              <w:jc w:val="both"/>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（3）商务与技术评分之和得分较高的优先。</w:t>
            </w:r>
          </w:p>
        </w:tc>
      </w:tr>
      <w:tr>
        <w:tblPrEx/>
        <w:trPr>
          <w:cantSplit w:val="false"/>
          <w:trHeight w:val="638" w:hRule="atLeast"/>
          <w:tblHeader w:val="false"/>
          <w:jc w:val="left"/>
        </w:trPr>
        <w:tc>
          <w:tcPr>
            <w:tcW w:w="90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2.1.1、2.1.3</w:t>
            </w:r>
          </w:p>
        </w:tc>
        <w:tc>
          <w:tcPr>
            <w:tcW w:w="1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形式评审与响应性评审标准</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供应商名称</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与市场监管部门或其行政机关颁发的可以合法开展业务的执照或证书一致</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响应文件签字盖章</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符合第二章第3.7.2项及第3.7.3项的规定</w:t>
            </w:r>
          </w:p>
        </w:tc>
      </w:tr>
      <w:tr>
        <w:tblPrEx/>
        <w:trPr>
          <w:cantSplit w:val="false"/>
          <w:trHeight w:val="638"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响应文件</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响应文件按照采购文件规定的格式、内容和要求编制，内容齐全、字迹清晰可辨</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服务期</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满足采购文件要求</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质量要求</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满足采购文件要求</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报价</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未超过采购人设定的最高限价</w:t>
            </w:r>
          </w:p>
        </w:tc>
      </w:tr>
      <w:tr>
        <w:tblPrEx/>
        <w:trPr>
          <w:cantSplit w:val="false"/>
          <w:trHeight w:val="2208"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权利义务符合采购文件规定</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a.供应商应接受采购文件规定的风险划分原则，未提出新的风险划分办法；</w:t>
            </w:r>
          </w:p>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b.供应商未增加采购人的责任范围，或减少供应商义务；</w:t>
            </w:r>
          </w:p>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c.供应商未提出不同的验收、计量、支付办法；</w:t>
            </w:r>
          </w:p>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d.供应商对合同纠纷、事故处理办法未提出异议；</w:t>
            </w:r>
          </w:p>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e.供应商在采购活动中无欺诈行为；</w:t>
            </w:r>
          </w:p>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f.供应商未对合同格式条款有重要保留。</w:t>
            </w:r>
          </w:p>
        </w:tc>
      </w:tr>
      <w:tr>
        <w:tblPrEx/>
        <w:trPr>
          <w:cantSplit w:val="false"/>
          <w:trHeight w:val="324" w:hRule="atLeast"/>
          <w:tblHeader w:val="false"/>
          <w:jc w:val="left"/>
        </w:trPr>
        <w:tc>
          <w:tcPr>
            <w:tcW w:w="90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2.1.2</w:t>
            </w:r>
          </w:p>
        </w:tc>
        <w:tc>
          <w:tcPr>
            <w:tcW w:w="1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资格评审标准</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资质要求</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符合供应商须知附录1资格审查条件（资质最低要求）</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业绩要求</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符合供应商须知附录2资格审查条件（业绩最低要求）</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信誉要求</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符合供应商须知附录3资格审查条件（信誉最低要求）</w:t>
            </w:r>
          </w:p>
        </w:tc>
      </w:tr>
      <w:tr>
        <w:tblPrEx/>
        <w:trPr>
          <w:cantSplit w:val="false"/>
          <w:trHeight w:val="32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人员要求</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符合供应商须知附录4资格审查条件（</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人员</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最低要求）</w:t>
            </w:r>
          </w:p>
        </w:tc>
      </w:tr>
      <w:tr>
        <w:tblPrEx/>
        <w:trPr>
          <w:cantSplit w:val="false"/>
          <w:trHeight w:val="607" w:hRule="atLeast"/>
          <w:tblHeader w:val="false"/>
          <w:jc w:val="left"/>
        </w:trPr>
        <w:tc>
          <w:tcPr>
            <w:tcW w:w="197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2.2.2</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评审价格</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评审价=响应函中填写的大写文字报价</w:t>
            </w:r>
          </w:p>
        </w:tc>
      </w:tr>
      <w:tr>
        <w:tblPrEx/>
        <w:trPr>
          <w:cantSplit w:val="false"/>
          <w:trHeight w:val="710" w:hRule="atLeast"/>
          <w:tblHeader w:val="false"/>
          <w:jc w:val="left"/>
        </w:trPr>
        <w:tc>
          <w:tcPr>
            <w:tcW w:w="9378" w:type="dxa"/>
            <w:gridSpan w:val="4"/>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 xml:space="preserve"> </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详细评审标准和程序</w:t>
            </w:r>
          </w:p>
        </w:tc>
      </w:tr>
      <w:tr>
        <w:tblPrEx/>
        <w:trPr>
          <w:cantSplit w:val="false"/>
          <w:trHeight w:val="952" w:hRule="atLeast"/>
          <w:tblHeader w:val="false"/>
          <w:jc w:val="left"/>
        </w:trPr>
        <w:tc>
          <w:tcPr>
            <w:tcW w:w="197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3.1</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分值构成</w:t>
            </w:r>
          </w:p>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（总分100分）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（1）商务部分：50分</w:t>
            </w:r>
          </w:p>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（2）技术部分：40分</w:t>
            </w:r>
          </w:p>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（3）报价：10分</w:t>
            </w:r>
          </w:p>
        </w:tc>
      </w:tr>
      <w:tr>
        <w:tblPrEx/>
        <w:trPr>
          <w:cantSplit w:val="false"/>
          <w:trHeight w:val="1648" w:hRule="atLeast"/>
          <w:tblHeader w:val="false"/>
          <w:jc w:val="left"/>
        </w:trPr>
        <w:tc>
          <w:tcPr>
            <w:tcW w:w="197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3.2（2）</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评审基准价</w:t>
            </w:r>
          </w:p>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计算方法</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ind w:left="0" w:leftChars="0" w:firstLine="0" w:firstLineChars="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评标基准价的计算(四舍五入保留整数)：</w:t>
            </w:r>
          </w:p>
          <w:p>
            <w:pPr>
              <w:spacing w:lineRule="auto" w:line="240"/>
              <w:ind w:left="0" w:leftChars="0" w:firstLine="0" w:firstLineChars="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（1）</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评审价</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的确定：</w:t>
            </w:r>
          </w:p>
          <w:p>
            <w:pPr>
              <w:spacing w:lineRule="auto" w:line="240"/>
              <w:ind w:left="0" w:leftChars="0" w:firstLine="0" w:firstLineChars="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评审价</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响应函中填写的大写文字报价</w:t>
            </w:r>
          </w:p>
          <w:p>
            <w:pPr>
              <w:spacing w:lineRule="auto" w:line="240"/>
              <w:ind w:left="0" w:leftChars="0" w:firstLine="0" w:firstLineChars="0"/>
              <w:jc w:val="left"/>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（2）</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评审价</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平均值的计算：</w:t>
            </w:r>
          </w:p>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所有通过初步评审的供应商评审价的算术平均值即为评审价平均值。</w:t>
            </w:r>
          </w:p>
          <w:p>
            <w:pPr>
              <w:spacing w:lineRule="auto" w:line="240"/>
              <w:ind w:firstLine="0" w:firstLineChars="0"/>
              <w:jc w:val="both"/>
              <w:rPr/>
            </w:pP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（3）评标基准价的确定：</w:t>
            </w:r>
          </w:p>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所有通过评审的供应商评审价的平均值作为评审基准价。</w:t>
            </w:r>
            <w:r>
              <w:rPr>
                <w:rFonts w:ascii="Times New Roman" w:cs="Times New Roman" w:eastAsia="宋体" w:hAnsi="Times New Roman" w:hint="default"/>
                <w:b w:val="false"/>
                <w:bCs w:val="false"/>
                <w:i w:val="false"/>
                <w:iCs w:val="false"/>
                <w:color w:val="auto"/>
                <w:kern w:val="2"/>
                <w:sz w:val="21"/>
                <w:szCs w:val="20"/>
                <w:highlight w:val="none"/>
                <w:vertAlign w:val="baseline"/>
                <w:em w:val="none"/>
                <w:lang w:val="en-US" w:bidi="ar-SA"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rPr>
          <w:cantSplit w:val="false"/>
          <w:trHeight w:val="758" w:hRule="atLeast"/>
          <w:tblHeader w:val="false"/>
          <w:jc w:val="left"/>
        </w:trPr>
        <w:tc>
          <w:tcPr>
            <w:tcW w:w="197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3.2（</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ind w:left="-105" w:leftChars="-50" w:right="-105" w:rightChars="-50"/>
              <w:jc w:val="center"/>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的偏差率计算公式</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偏差率=100%</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 xml:space="preserve"> </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×（投标人</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－评标基准价）/评标基准价</w:t>
            </w:r>
          </w:p>
          <w:p>
            <w:pPr>
              <w:spacing w:lineRule="auto" w:line="240"/>
              <w:jc w:val="left"/>
              <w:rPr/>
            </w:pP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偏差率四舍五入保留</w:t>
            </w:r>
            <w:r>
              <w:rPr>
                <w:rFonts w:ascii="宋体" w:cs="华文中宋" w:eastAsia="宋体" w:hAnsi="宋体" w:hint="default"/>
                <w:b/>
                <w:bCs/>
                <w:i w:val="false"/>
                <w:iCs w:val="false"/>
                <w:color w:val="auto"/>
                <w:kern w:val="2"/>
                <w:sz w:val="21"/>
                <w:szCs w:val="20"/>
                <w:highlight w:val="none"/>
                <w:u w:val="single" w:color="auto"/>
                <w:vertAlign w:val="baseline"/>
                <w:em w:val="none"/>
                <w:lang w:val="en-US" w:bidi="ar-SA" w:eastAsia="zh-CN"/>
              </w:rPr>
              <w:t xml:space="preserve"> </w:t>
            </w:r>
            <w:r>
              <w:rPr>
                <w:rFonts w:ascii="宋体" w:cs="华文中宋" w:eastAsia="宋体" w:hAnsi="宋体" w:hint="default"/>
                <w:b/>
                <w:bCs/>
                <w:i w:val="false"/>
                <w:iCs w:val="false"/>
                <w:color w:val="auto"/>
                <w:kern w:val="2"/>
                <w:sz w:val="21"/>
                <w:szCs w:val="20"/>
                <w:highlight w:val="none"/>
                <w:u w:val="single" w:color="auto"/>
                <w:vertAlign w:val="baseline"/>
                <w:em w:val="none"/>
                <w:lang w:val="en-US" w:bidi="ar-SA" w:eastAsia="zh-CN"/>
              </w:rPr>
              <w:t>2</w:t>
            </w:r>
            <w:r>
              <w:rPr>
                <w:rFonts w:ascii="宋体" w:cs="华文中宋" w:eastAsia="宋体" w:hAnsi="宋体" w:hint="default"/>
                <w:b/>
                <w:bCs/>
                <w:i w:val="false"/>
                <w:iCs w:val="false"/>
                <w:color w:val="auto"/>
                <w:kern w:val="2"/>
                <w:sz w:val="21"/>
                <w:szCs w:val="20"/>
                <w:highlight w:val="none"/>
                <w:u w:val="single" w:color="auto"/>
                <w:vertAlign w:val="baseline"/>
                <w:em w:val="none"/>
                <w:lang w:val="en-US" w:bidi="ar-SA" w:eastAsia="zh-CN"/>
              </w:rPr>
              <w:t xml:space="preserve"> </w:t>
            </w: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位小数</w:t>
            </w:r>
          </w:p>
        </w:tc>
      </w:tr>
      <w:tr>
        <w:tblPrEx/>
        <w:trPr>
          <w:cantSplit w:val="false"/>
          <w:trHeight w:val="324" w:hRule="atLeast"/>
          <w:tblHeader w:val="false"/>
          <w:jc w:val="left"/>
        </w:trPr>
        <w:tc>
          <w:tcPr>
            <w:tcW w:w="197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条款号及名称</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评分因素</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评分标准</w:t>
            </w:r>
          </w:p>
        </w:tc>
      </w:tr>
      <w:tr>
        <w:tblPrEx/>
        <w:trPr>
          <w:cantSplit w:val="false"/>
          <w:trHeight w:val="499" w:hRule="atLeast"/>
          <w:tblHeader w:val="false"/>
          <w:jc w:val="left"/>
        </w:trPr>
        <w:tc>
          <w:tcPr>
            <w:tcW w:w="90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3.3（1）</w:t>
            </w:r>
          </w:p>
        </w:tc>
        <w:tc>
          <w:tcPr>
            <w:tcW w:w="1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商务评分标准</w:t>
            </w:r>
          </w:p>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50分</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p>
        </w:tc>
        <w:tc>
          <w:tcPr>
            <w:tcW w:w="19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人员要求</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5</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满足资格审查条件</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人员</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最低要求，得20分；</w:t>
            </w:r>
          </w:p>
        </w:tc>
      </w:tr>
      <w:tr>
        <w:tblPrEx/>
        <w:trPr>
          <w:cantSplit w:val="false"/>
          <w:trHeight w:val="638"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在满足资格审查条件的基础上，每增加1项</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一级及以上</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公路工程可行性研究报告编制</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负责人</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工作的加5分，最多加5分</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p>
        </w:tc>
      </w:tr>
      <w:tr>
        <w:tblPrEx/>
        <w:trPr>
          <w:cantSplit w:val="false"/>
          <w:trHeight w:val="344"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供应商</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业绩</w:t>
            </w:r>
          </w:p>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（2</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5</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满足资格审查条件业绩最低要求，得</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15</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分</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p>
        </w:tc>
      </w:tr>
      <w:tr>
        <w:tblPrEx/>
        <w:trPr>
          <w:cantSplit w:val="false"/>
          <w:trHeight w:val="952"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spacing w:lineRule="auto" w:line="240"/>
              <w:jc w:val="left"/>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在满足资格审查条件</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的</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基础上，</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每增加</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过1项</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一级及以上</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公路工程可行性研究报告编制工作加5分，本项最多加</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10</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分；</w:t>
            </w:r>
          </w:p>
        </w:tc>
      </w:tr>
      <w:tr>
        <w:tblPrEx/>
        <w:trPr>
          <w:cantSplit w:val="false"/>
          <w:trHeight w:val="1266" w:hRule="atLeast"/>
          <w:tblHeader w:val="false"/>
          <w:jc w:val="left"/>
        </w:trPr>
        <w:tc>
          <w:tcPr>
            <w:tcW w:w="90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3.3（2）</w:t>
            </w:r>
          </w:p>
        </w:tc>
        <w:tc>
          <w:tcPr>
            <w:tcW w:w="1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技术评分标准</w:t>
            </w:r>
          </w:p>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40分</w:t>
            </w: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对项目的理解把握程度和整体编制思路、编制理念、问题建议（</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5分</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根据对项目的理解把握程度和整体编制思路、编制理念、问题建议等阐述情况，得3-5分。</w:t>
            </w:r>
          </w:p>
        </w:tc>
      </w:tr>
      <w:tr>
        <w:tblPrEx/>
        <w:trPr>
          <w:cantSplit w:val="false"/>
          <w:trHeight w:val="1580"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编制工作内容及方案</w:t>
            </w:r>
            <w:r>
              <w:rPr>
                <w:rFonts w:ascii="宋体" w:cs="宋体" w:eastAsia="宋体" w:hAnsi="宋体" w:hint="default"/>
                <w:b w:val="false"/>
                <w:bCs w:val="false"/>
                <w:i w:val="false"/>
                <w:iCs w:val="false"/>
                <w:snapToGrid w:val="false"/>
                <w:color w:val="auto"/>
                <w:kern w:val="2"/>
                <w:sz w:val="21"/>
                <w:szCs w:val="21"/>
                <w:highlight w:val="none"/>
                <w:vertAlign w:val="baseline"/>
                <w:em w:val="none"/>
                <w:lang w:val="en-US" w:bidi="ar-SA" w:eastAsia="zh-CN"/>
              </w:rPr>
              <w:t>（10分）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对项目建设的必要性、交通分析与预测、经济分析、建设方案、技术标准、实施方案、问题及建议等编制工作内容及方案进行阐述，得</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6-10</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 xml:space="preserve"> </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分。</w:t>
            </w:r>
          </w:p>
        </w:tc>
      </w:tr>
      <w:tr>
        <w:tblPrEx/>
        <w:trPr>
          <w:cantSplit w:val="false"/>
          <w:trHeight w:val="992"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宋体" w:eastAsia="宋体" w:hAnsi="宋体" w:hint="default"/>
                <w:b w:val="false"/>
                <w:bCs w:val="false"/>
                <w:i w:val="false"/>
                <w:iCs w:val="false"/>
                <w:snapToGrid w:val="false"/>
                <w:color w:val="auto"/>
                <w:kern w:val="2"/>
                <w:sz w:val="21"/>
                <w:szCs w:val="21"/>
                <w:highlight w:val="none"/>
                <w:vertAlign w:val="baseline"/>
                <w:em w:val="none"/>
                <w:lang w:val="en-US" w:bidi="ar-SA" w:eastAsia="zh-CN"/>
              </w:rPr>
              <w:t>对项目可行性研究的特点和重点的分析、对关键性技术问题的建议或措施</w:t>
            </w:r>
          </w:p>
          <w:p>
            <w:pPr>
              <w:widowControl/>
              <w:spacing w:lineRule="auto" w:line="240"/>
              <w:jc w:val="center"/>
              <w:textAlignment w:val="center"/>
              <w:rPr/>
            </w:pPr>
            <w:r>
              <w:rPr>
                <w:rFonts w:ascii="宋体" w:cs="宋体" w:eastAsia="宋体" w:hAnsi="宋体" w:hint="default"/>
                <w:b w:val="false"/>
                <w:bCs w:val="false"/>
                <w:i w:val="false"/>
                <w:iCs w:val="false"/>
                <w:snapToGrid w:val="false"/>
                <w:color w:val="auto"/>
                <w:kern w:val="2"/>
                <w:sz w:val="21"/>
                <w:szCs w:val="21"/>
                <w:highlight w:val="none"/>
                <w:vertAlign w:val="baseline"/>
                <w:em w:val="none"/>
                <w:lang w:val="en-US" w:bidi="ar-SA" w:eastAsia="zh-CN"/>
              </w:rPr>
              <w:t>（10分）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根据对项目</w:t>
            </w:r>
            <w:r>
              <w:rPr>
                <w:rFonts w:ascii="宋体" w:cs="宋体" w:eastAsia="宋体" w:hAnsi="宋体" w:hint="default"/>
                <w:b w:val="false"/>
                <w:bCs w:val="false"/>
                <w:i w:val="false"/>
                <w:iCs w:val="false"/>
                <w:snapToGrid w:val="false"/>
                <w:color w:val="auto"/>
                <w:kern w:val="2"/>
                <w:sz w:val="21"/>
                <w:szCs w:val="21"/>
                <w:highlight w:val="none"/>
                <w:vertAlign w:val="baseline"/>
                <w:em w:val="none"/>
                <w:lang w:val="en-US" w:bidi="ar-SA" w:eastAsia="zh-CN"/>
              </w:rPr>
              <w:t>的特点和重点的分析、对关键性技术问题的建议或措施</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等阐述情况，得6-10分。</w:t>
            </w:r>
          </w:p>
        </w:tc>
      </w:tr>
      <w:tr>
        <w:tblPrEx/>
        <w:trPr>
          <w:cantSplit w:val="false"/>
          <w:trHeight w:val="992"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eastAsia="zh-CN"/>
              </w:rPr>
              <w:t>工作进度及计划安排</w:t>
            </w:r>
            <w:r>
              <w:rPr>
                <w:rFonts w:ascii="宋体" w:cs="宋体" w:eastAsia="宋体" w:hAnsi="宋体" w:hint="default"/>
                <w:b w:val="false"/>
                <w:bCs w:val="false"/>
                <w:i w:val="false"/>
                <w:iCs w:val="false"/>
                <w:color w:val="auto"/>
                <w:kern w:val="0"/>
                <w:sz w:val="21"/>
                <w:szCs w:val="21"/>
                <w:highlight w:val="none"/>
                <w:vertAlign w:val="baseline"/>
                <w:em w:val="none"/>
                <w:lang w:val="en-US" w:eastAsia="zh-CN"/>
              </w:rPr>
              <w:t>（</w:t>
            </w:r>
            <w:r>
              <w:rPr>
                <w:rFonts w:ascii="宋体" w:cs="宋体" w:eastAsia="宋体" w:hAnsi="宋体" w:hint="default"/>
                <w:b w:val="false"/>
                <w:bCs w:val="false"/>
                <w:i w:val="false"/>
                <w:iCs w:val="false"/>
                <w:color w:val="auto"/>
                <w:kern w:val="0"/>
                <w:sz w:val="21"/>
                <w:szCs w:val="21"/>
                <w:highlight w:val="none"/>
                <w:vertAlign w:val="baseline"/>
                <w:em w:val="none"/>
                <w:lang w:val="en-US" w:eastAsia="zh-CN"/>
              </w:rPr>
              <w:t>5分</w:t>
            </w:r>
            <w:r>
              <w:rPr>
                <w:rFonts w:ascii="宋体" w:cs="宋体" w:eastAsia="宋体" w:hAnsi="宋体" w:hint="default"/>
                <w:b w:val="false"/>
                <w:bCs w:val="false"/>
                <w:i w:val="false"/>
                <w:iCs w:val="false"/>
                <w:color w:val="auto"/>
                <w:kern w:val="0"/>
                <w:sz w:val="21"/>
                <w:szCs w:val="21"/>
                <w:highlight w:val="none"/>
                <w:vertAlign w:val="baseline"/>
                <w:em w:val="none"/>
                <w:lang w:val="en-US" w:eastAsia="zh-CN"/>
              </w:rPr>
              <w:t>）</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根据对项目工作的进度及计划安排等阐述情况，得3-5分。</w:t>
            </w:r>
          </w:p>
        </w:tc>
      </w:tr>
      <w:tr>
        <w:tblPrEx/>
        <w:trPr>
          <w:cantSplit w:val="false"/>
          <w:trHeight w:val="992"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质量管理措施</w:t>
            </w:r>
          </w:p>
          <w:p>
            <w:pPr>
              <w:widowControl/>
              <w:spacing w:lineRule="auto" w:line="240"/>
              <w:jc w:val="center"/>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（5分）</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根据对项目的质量管理措施等阐述情况，得3-5分。</w:t>
            </w:r>
          </w:p>
        </w:tc>
      </w:tr>
      <w:tr>
        <w:tblPrEx/>
        <w:trPr>
          <w:cantSplit w:val="false"/>
          <w:trHeight w:val="992" w:hRule="atLeast"/>
          <w:tblHeader w:val="false"/>
          <w:jc w:val="left"/>
        </w:trPr>
        <w:tc>
          <w:tcPr>
            <w:tcW w:w="903" w:type="dxa"/>
            <w:vMerge w:val="continue"/>
            <w:tcBorders>
              <w:top w:val="single" w:sz="4" w:space="0" w:color="auto"/>
              <w:left w:val="single" w:sz="12" w:space="0" w:color="auto"/>
              <w:bottom w:val="single" w:sz="4" w:space="0" w:color="auto"/>
              <w:right w:val="single" w:sz="4" w:space="0" w:color="auto"/>
            </w:tcBorders>
            <w:tcMar/>
            <w:vAlign w:val="center"/>
          </w:tcPr>
          <w:p>
            <w:pPr>
              <w:spacing w:lineRule="auto" w:line="240"/>
              <w:jc w:val="center"/>
              <w:rPr/>
            </w:pPr>
          </w:p>
        </w:tc>
        <w:tc>
          <w:tcPr>
            <w:tcW w:w="1067" w:type="dxa"/>
            <w:vMerge w:val="continue"/>
            <w:tcBorders>
              <w:top w:val="single" w:sz="4" w:space="0" w:color="auto"/>
              <w:left w:val="single" w:sz="4" w:space="0" w:color="auto"/>
              <w:bottom w:val="single" w:sz="4" w:space="0" w:color="auto"/>
              <w:right w:val="single" w:sz="4" w:space="0" w:color="auto"/>
            </w:tcBorders>
            <w:tcMar/>
            <w:vAlign w:val="center"/>
          </w:tcPr>
          <w:p>
            <w:pPr>
              <w:spacing w:lineRule="auto" w:line="240"/>
              <w:jc w:val="center"/>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widowControl/>
              <w:spacing w:lineRule="auto" w:line="240"/>
              <w:jc w:val="center"/>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后续服务的安排及保证措施</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5分</w:t>
            </w: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w:t>
            </w:r>
          </w:p>
        </w:tc>
        <w:tc>
          <w:tcPr>
            <w:tcW w:w="542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pPr>
              <w:widowControl/>
              <w:spacing w:lineRule="auto" w:line="240"/>
              <w:jc w:val="left"/>
              <w:textAlignment w:val="center"/>
              <w:rPr/>
            </w:pPr>
            <w:r>
              <w:rPr>
                <w:rFonts w:ascii="宋体" w:cs="宋体" w:eastAsia="宋体" w:hAnsi="宋体" w:hint="default"/>
                <w:b w:val="false"/>
                <w:bCs w:val="false"/>
                <w:i w:val="false"/>
                <w:iCs w:val="false"/>
                <w:color w:val="auto"/>
                <w:kern w:val="2"/>
                <w:sz w:val="21"/>
                <w:szCs w:val="21"/>
                <w:highlight w:val="none"/>
                <w:vertAlign w:val="baseline"/>
                <w:em w:val="none"/>
                <w:lang w:val="en-US" w:bidi="ar-SA" w:eastAsia="zh-CN"/>
              </w:rPr>
              <w:t>根据对项目后续服务的安排及保证措施等阐述情况，得3-5分。</w:t>
            </w:r>
          </w:p>
        </w:tc>
      </w:tr>
      <w:tr>
        <w:tblPrEx/>
        <w:trPr>
          <w:cantSplit w:val="false"/>
          <w:trHeight w:val="2933" w:hRule="atLeast"/>
          <w:tblHeader w:val="false"/>
          <w:jc w:val="left"/>
        </w:trPr>
        <w:tc>
          <w:tcPr>
            <w:tcW w:w="903"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3.3（3）</w:t>
            </w:r>
          </w:p>
        </w:tc>
        <w:tc>
          <w:tcPr>
            <w:tcW w:w="1067"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pPr>
              <w:spacing w:lineRule="auto" w:line="240"/>
              <w:jc w:val="center"/>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报价评分标准</w:t>
            </w:r>
          </w:p>
        </w:tc>
        <w:tc>
          <w:tcPr>
            <w:tcW w:w="7408" w:type="dxa"/>
            <w:gridSpan w:val="2"/>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pPr>
              <w:spacing w:lineRule="atLeast" w:line="380"/>
              <w:jc w:val="both"/>
              <w:rPr/>
            </w:pPr>
            <w:r>
              <w:rPr>
                <w:rFonts w:ascii="宋体" w:cs="宋体" w:eastAsia="宋体" w:hAnsi="宋体" w:hint="default"/>
                <w:b w:val="false"/>
                <w:bCs w:val="false"/>
                <w:i w:val="false"/>
                <w:iCs w:val="false"/>
                <w:color w:val="auto"/>
                <w:kern w:val="0"/>
                <w:sz w:val="21"/>
                <w:szCs w:val="21"/>
                <w:highlight w:val="none"/>
                <w:vertAlign w:val="baseline"/>
                <w:em w:val="none"/>
                <w:lang w:val="en-US" w:bidi="ar-SA" w:eastAsia="zh-CN"/>
              </w:rPr>
              <w:t>当</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得分计算公式示例（四舍五入，保留两位小数）：</w:t>
            </w:r>
          </w:p>
          <w:p>
            <w:pPr>
              <w:spacing w:lineRule="atLeast" w:line="380"/>
              <w:jc w:val="both"/>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(1)如果投标人的</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&gt;评标基准价，则</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得分＝F－偏差率×100×</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 xml:space="preserve"> </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E</w:t>
            </w:r>
            <w:r>
              <w:rPr>
                <w:rFonts w:ascii="宋体" w:cs="华文中宋" w:eastAsia="宋体" w:hAnsi="宋体" w:hint="default"/>
                <w:b w:val="false"/>
                <w:bCs w:val="false"/>
                <w:i w:val="false"/>
                <w:iCs w:val="false"/>
                <w:color w:val="auto"/>
                <w:kern w:val="2"/>
                <w:sz w:val="21"/>
                <w:szCs w:val="20"/>
                <w:highlight w:val="none"/>
                <w:vertAlign w:val="subscript"/>
                <w:em w:val="none"/>
                <w:lang w:val="en-US" w:bidi="ar-SA" w:eastAsia="zh-CN"/>
              </w:rPr>
              <w:t>1</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w:t>
            </w:r>
          </w:p>
          <w:p>
            <w:pPr>
              <w:spacing w:lineRule="atLeast" w:line="380"/>
              <w:jc w:val="both"/>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(2)如果投标人的</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≤评标基准价，则</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得分＝F＋偏差率×</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 xml:space="preserve"> </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100×</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 xml:space="preserve"> </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E</w:t>
            </w:r>
            <w:r>
              <w:rPr>
                <w:rFonts w:ascii="宋体" w:cs="华文中宋" w:eastAsia="宋体" w:hAnsi="宋体" w:hint="default"/>
                <w:b w:val="false"/>
                <w:bCs w:val="false"/>
                <w:i w:val="false"/>
                <w:iCs w:val="false"/>
                <w:color w:val="auto"/>
                <w:kern w:val="2"/>
                <w:sz w:val="21"/>
                <w:szCs w:val="20"/>
                <w:highlight w:val="none"/>
                <w:vertAlign w:val="subscript"/>
                <w:em w:val="none"/>
                <w:lang w:val="en-US" w:bidi="ar-SA" w:eastAsia="zh-CN"/>
              </w:rPr>
              <w:t>2</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w:t>
            </w:r>
          </w:p>
          <w:p>
            <w:pPr>
              <w:spacing w:lineRule="atLeast" w:line="380"/>
              <w:jc w:val="both"/>
              <w:rPr/>
            </w:pP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其中：F是</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所占的权重分值，E</w:t>
            </w:r>
            <w:r>
              <w:rPr>
                <w:rFonts w:ascii="宋体" w:cs="华文中宋" w:eastAsia="宋体" w:hAnsi="宋体" w:hint="default"/>
                <w:b w:val="false"/>
                <w:bCs w:val="false"/>
                <w:i w:val="false"/>
                <w:iCs w:val="false"/>
                <w:color w:val="auto"/>
                <w:kern w:val="2"/>
                <w:sz w:val="21"/>
                <w:szCs w:val="20"/>
                <w:highlight w:val="none"/>
                <w:vertAlign w:val="subscript"/>
                <w:em w:val="none"/>
                <w:lang w:val="en-US" w:bidi="ar-SA" w:eastAsia="zh-CN"/>
              </w:rPr>
              <w:t>1</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是</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每高于评标基准价一个百分点的扣分值，E</w:t>
            </w:r>
            <w:r>
              <w:rPr>
                <w:rFonts w:ascii="宋体" w:cs="华文中宋" w:eastAsia="宋体" w:hAnsi="宋体" w:hint="default"/>
                <w:b w:val="false"/>
                <w:bCs w:val="false"/>
                <w:i w:val="false"/>
                <w:iCs w:val="false"/>
                <w:color w:val="auto"/>
                <w:kern w:val="2"/>
                <w:sz w:val="21"/>
                <w:szCs w:val="20"/>
                <w:highlight w:val="none"/>
                <w:vertAlign w:val="subscript"/>
                <w:em w:val="none"/>
                <w:lang w:val="en-US" w:bidi="ar-SA" w:eastAsia="zh-CN"/>
              </w:rPr>
              <w:t>2</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是</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评审价</w:t>
            </w:r>
            <w:r>
              <w:rPr>
                <w:rFonts w:ascii="宋体" w:cs="华文中宋" w:eastAsia="宋体" w:hAnsi="宋体" w:hint="default"/>
                <w:b w:val="false"/>
                <w:bCs w:val="false"/>
                <w:i w:val="false"/>
                <w:iCs w:val="false"/>
                <w:color w:val="auto"/>
                <w:kern w:val="2"/>
                <w:sz w:val="21"/>
                <w:szCs w:val="20"/>
                <w:highlight w:val="none"/>
                <w:vertAlign w:val="baseline"/>
                <w:em w:val="none"/>
                <w:lang w:val="en-US" w:bidi="ar-SA" w:eastAsia="zh-CN"/>
              </w:rPr>
              <w:t>每低于评标基准价一个百分点的扣分值；</w:t>
            </w:r>
          </w:p>
          <w:p>
            <w:pPr>
              <w:spacing w:lineRule="auto" w:line="240"/>
              <w:jc w:val="both"/>
              <w:rPr/>
            </w:pP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若投标人的投标报价</w:t>
            </w: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&gt;</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评标基准价，则</w:t>
            </w: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E</w:t>
            </w:r>
            <w:r>
              <w:rPr>
                <w:rFonts w:ascii="宋体" w:cs="华文中宋" w:eastAsia="宋体" w:hAnsi="宋体" w:hint="default"/>
                <w:b/>
                <w:bCs/>
                <w:i w:val="false"/>
                <w:iCs w:val="false"/>
                <w:color w:val="auto"/>
                <w:kern w:val="2"/>
                <w:sz w:val="21"/>
                <w:szCs w:val="20"/>
                <w:highlight w:val="none"/>
                <w:vertAlign w:val="subscript"/>
                <w:em w:val="none"/>
                <w:lang w:val="en-US" w:bidi="ar-SA" w:eastAsia="zh-CN"/>
              </w:rPr>
              <w:t>1</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＝0.2；若投标人的投标报价</w:t>
            </w: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评标基准价，则</w:t>
            </w:r>
            <w:r>
              <w:rPr>
                <w:rFonts w:ascii="宋体" w:cs="华文中宋" w:eastAsia="宋体" w:hAnsi="宋体" w:hint="default"/>
                <w:b/>
                <w:bCs/>
                <w:i w:val="false"/>
                <w:iCs w:val="false"/>
                <w:color w:val="auto"/>
                <w:kern w:val="2"/>
                <w:sz w:val="21"/>
                <w:szCs w:val="20"/>
                <w:highlight w:val="none"/>
                <w:vertAlign w:val="baseline"/>
                <w:em w:val="none"/>
                <w:lang w:val="en-US" w:bidi="ar-SA" w:eastAsia="zh-CN"/>
              </w:rPr>
              <w:t>E</w:t>
            </w:r>
            <w:r>
              <w:rPr>
                <w:rFonts w:ascii="宋体" w:cs="华文中宋" w:eastAsia="宋体" w:hAnsi="宋体" w:hint="default"/>
                <w:b/>
                <w:bCs/>
                <w:i w:val="false"/>
                <w:iCs w:val="false"/>
                <w:color w:val="auto"/>
                <w:kern w:val="2"/>
                <w:sz w:val="21"/>
                <w:szCs w:val="20"/>
                <w:highlight w:val="none"/>
                <w:vertAlign w:val="subscript"/>
                <w:em w:val="none"/>
                <w:lang w:val="en-US" w:bidi="ar-SA" w:eastAsia="zh-CN"/>
              </w:rPr>
              <w:t>2</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＝0.1。</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评审价</w:t>
            </w:r>
            <w:r>
              <w:rPr>
                <w:rFonts w:ascii="宋体" w:cs="华文中宋" w:eastAsia="宋体" w:hAnsi="宋体" w:hint="default"/>
                <w:b/>
                <w:bCs/>
                <w:i w:val="false"/>
                <w:iCs w:val="false"/>
                <w:color w:val="auto"/>
                <w:spacing w:val="-6"/>
                <w:kern w:val="2"/>
                <w:sz w:val="21"/>
                <w:szCs w:val="20"/>
                <w:highlight w:val="none"/>
                <w:vertAlign w:val="baseline"/>
                <w:em w:val="none"/>
                <w:lang w:val="en-US" w:bidi="ar-SA" w:eastAsia="zh-CN"/>
              </w:rPr>
              <w:t>得分最低为0分。</w:t>
            </w:r>
          </w:p>
        </w:tc>
      </w:tr>
      <w:bookmarkStart w:id="1" w:name="_Toc48321169"/>
    </w:tbl>
    <w:p>
      <w:pPr>
        <w:keepNext/>
        <w:keepLines/>
        <w:shd w:val="clear" w:color="ffffff" w:fill="auto"/>
        <w:spacing w:lineRule="auto" w:line="720"/>
        <w:jc w:val="left"/>
        <w:outlineLvl w:val="3"/>
        <w:rPr/>
      </w:pPr>
      <w:r>
        <w:rPr>
          <w:rFonts w:ascii="宋体" w:cs="宋体" w:eastAsia="宋体" w:hAnsi="宋体" w:hint="default"/>
          <w:b w:val="false"/>
          <w:bCs w:val="false"/>
          <w:i w:val="false"/>
          <w:iCs w:val="false"/>
          <w:color w:val="000000"/>
          <w:spacing w:val="0"/>
          <w:w w:val="100"/>
          <w:kern w:val="0"/>
          <w:position w:val="0"/>
          <w:sz w:val="32"/>
          <w:szCs w:val="32"/>
          <w:highlight w:val="none"/>
          <w:vertAlign w:val="baseline"/>
          <w:em w:val="none"/>
          <w:lang w:val="zh-TW" w:bidi="ar-SA" w:eastAsia="zh-TW"/>
        </w:rPr>
        <w:t>1.评审方法</w:t>
      </w:r>
      <w:bookmarkEnd w:id="1"/>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本次评审采用综合评分法。评审小组对满足采购文件实质性要求的响应文件，按照本章第3条规定的评分标准进行打分，并按得分由高到低的顺序推荐候选成交供应商。</w:t>
      </w:r>
    </w:p>
    <w:bookmarkStart w:id="2" w:name="_Toc48321170"/>
    <w:p>
      <w:pPr>
        <w:keepNext/>
        <w:keepLines/>
        <w:shd w:val="clear" w:color="ffffff" w:fill="auto"/>
        <w:spacing w:lineRule="auto" w:line="720"/>
        <w:jc w:val="left"/>
        <w:outlineLvl w:val="3"/>
        <w:rPr/>
      </w:pPr>
      <w:r>
        <w:rPr>
          <w:rFonts w:ascii="宋体" w:cs="宋体" w:eastAsia="宋体" w:hAnsi="宋体" w:hint="default"/>
          <w:b w:val="false"/>
          <w:bCs w:val="false"/>
          <w:i w:val="false"/>
          <w:iCs w:val="false"/>
          <w:color w:val="000000"/>
          <w:spacing w:val="0"/>
          <w:w w:val="100"/>
          <w:kern w:val="0"/>
          <w:position w:val="0"/>
          <w:sz w:val="32"/>
          <w:szCs w:val="32"/>
          <w:highlight w:val="none"/>
          <w:vertAlign w:val="baseline"/>
          <w:em w:val="none"/>
          <w:lang w:val="zh-TW" w:bidi="ar-SA" w:eastAsia="zh-TW"/>
        </w:rPr>
        <w:t>2.初步评审标准和程序</w:t>
      </w:r>
      <w:bookmarkEnd w:id="2"/>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2.1初步评审标准</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2.1.1形式评审标准：见评审办法前附表。</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2.1.2资格评审标准：见评审办法前附表。</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2.1.3响应性评审标准：见评审办法前附表。</w:t>
      </w:r>
    </w:p>
    <w:bookmarkStart w:id="3" w:name="_Toc48321171"/>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2.2初步评宙程序</w:t>
      </w:r>
      <w:bookmarkEnd w:id="3"/>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2.2.2</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除评审办法前附表另有规定外，评审价格为供应商在响应函中填报的大写含税价格。</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评审价格若超过最高限价（如有），其响应文件将被视为无效。</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响应报价有算术错误及其他错误的，评审小组按以下原则要求供应商对响应报价进行修正，并要求供应商书面澄清确认。供应商拒不澄清确认的，其响应文件将被视为无效：</w:t>
      </w:r>
    </w:p>
    <w:p>
      <w:pPr>
        <w:tabs>
          <w:tab w:val="left" w:leader="none" w:pos="1020"/>
        </w:tabs>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en-US" w:bidi="ar-SA" w:eastAsia="zh-CN"/>
        </w:rPr>
        <w:t>（1）</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大写金额与小写金额不一致的，以大写金额为准；</w:t>
      </w:r>
    </w:p>
    <w:p>
      <w:pPr>
        <w:tabs>
          <w:tab w:val="left" w:leader="none" w:pos="1000"/>
        </w:tabs>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en-US" w:bidi="ar-SA" w:eastAsia="zh-CN"/>
        </w:rPr>
        <w:t>（2）</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总价金额与单价金额不一致的，以单价金额为准，但单价金额小数点有明显错误的除外；</w:t>
      </w:r>
    </w:p>
    <w:p>
      <w:pPr>
        <w:tabs>
          <w:tab w:val="left" w:leader="none" w:pos="1020"/>
        </w:tabs>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en-US" w:bidi="ar-SA" w:eastAsia="zh-CN"/>
        </w:rPr>
        <w:t>（3）</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报价表合计报价与分项报价的合计不一致的，以各分项报价的合价累计数为准；</w:t>
      </w:r>
    </w:p>
    <w:p>
      <w:pPr>
        <w:tabs>
          <w:tab w:val="left" w:leader="none" w:pos="980"/>
        </w:tabs>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en-US" w:bidi="ar-SA" w:eastAsia="zh-CN"/>
        </w:rPr>
        <w:t>（4）</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如果分项报价中存在缺漏项，且缺漏项内容不属于实质性偏差的，则视为缺漏项内容的价格已包含在其他分项报价之中。</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2.2.4供应商有串通、弄虚作假、行贿等违法行为的，其响应文件将被视为无效。</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2.2.5特殊情形处理</w:t>
      </w:r>
    </w:p>
    <w:p>
      <w:pPr>
        <w:spacing w:lineRule="auto" w:line="360"/>
        <w:ind w:firstLine="480" w:firstLineChars="200"/>
        <w:jc w:val="left"/>
        <w:rPr/>
      </w:pPr>
      <w:r>
        <w:rPr>
          <w:rFonts w:ascii="宋体" w:cs="宋体" w:eastAsia="宋体" w:hAnsi="宋体" w:hint="default"/>
          <w:b/>
          <w:bCs/>
          <w:i w:val="false"/>
          <w:iCs w:val="false"/>
          <w:color w:val="000000"/>
          <w:spacing w:val="0"/>
          <w:w w:val="100"/>
          <w:kern w:val="0"/>
          <w:position w:val="0"/>
          <w:sz w:val="24"/>
          <w:szCs w:val="24"/>
          <w:highlight w:val="none"/>
          <w:u w:val="single" w:color="auto"/>
          <w:vertAlign w:val="baseline"/>
          <w:em w:val="none"/>
          <w:lang w:val="zh-TW" w:bidi="ar-SA" w:eastAsia="zh-TW"/>
        </w:rPr>
        <w:t>初步评审后，如评审小组认为所有响应文件均无效，或者所有响应报价竞争性不足，高于市场预期价格，评审小组应当终止评审，或经采购人同意，转换选择其他采购方式。</w:t>
      </w:r>
    </w:p>
    <w:bookmarkStart w:id="4" w:name="bookmark127"/>
    <w:bookmarkStart w:id="5" w:name="_Toc48321173"/>
    <w:p>
      <w:pPr>
        <w:keepNext/>
        <w:keepLines/>
        <w:shd w:val="clear" w:color="ffffff" w:fill="auto"/>
        <w:spacing w:lineRule="auto" w:line="720"/>
        <w:jc w:val="left"/>
        <w:outlineLvl w:val="3"/>
        <w:rPr/>
      </w:pPr>
      <w:r>
        <w:rPr>
          <w:rFonts w:ascii="宋体" w:cs="宋体" w:eastAsia="宋体" w:hAnsi="宋体" w:hint="default"/>
          <w:b w:val="false"/>
          <w:bCs w:val="false"/>
          <w:i w:val="false"/>
          <w:iCs w:val="false"/>
          <w:color w:val="000000"/>
          <w:spacing w:val="0"/>
          <w:w w:val="100"/>
          <w:kern w:val="0"/>
          <w:position w:val="0"/>
          <w:sz w:val="32"/>
          <w:szCs w:val="32"/>
          <w:highlight w:val="none"/>
          <w:vertAlign w:val="baseline"/>
          <w:em w:val="none"/>
          <w:lang w:val="zh-TW" w:bidi="ar-SA" w:eastAsia="zh-TW"/>
        </w:rPr>
        <w:t>3详细评审标准和程序</w:t>
      </w:r>
      <w:bookmarkEnd w:id="4"/>
      <w:bookmarkEnd w:id="5"/>
    </w:p>
    <w:bookmarkStart w:id="6" w:name="bookmark128"/>
    <w:bookmarkStart w:id="7" w:name="_Toc48321174"/>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3.1分值构成</w:t>
      </w:r>
      <w:bookmarkEnd w:id="6"/>
      <w:bookmarkEnd w:id="7"/>
    </w:p>
    <w:p>
      <w:pPr>
        <w:tabs>
          <w:tab w:val="left" w:leader="none" w:pos="102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（1）</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商务部分：见评审办法前附表；</w:t>
      </w:r>
    </w:p>
    <w:p>
      <w:pPr>
        <w:tabs>
          <w:tab w:val="left" w:leader="none" w:pos="102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技术部分：见评审办法前附表；</w:t>
      </w:r>
    </w:p>
    <w:p>
      <w:pPr>
        <w:tabs>
          <w:tab w:val="left" w:leader="none" w:pos="102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3</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报价：见评审办法前附表</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p>
    <w:bookmarkStart w:id="8" w:name="bookmark129"/>
    <w:bookmarkStart w:id="9" w:name="_Toc48321175"/>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3.2评审基准价计算</w:t>
      </w:r>
      <w:bookmarkEnd w:id="8"/>
      <w:bookmarkEnd w:id="9"/>
    </w:p>
    <w:p>
      <w:pPr>
        <w:tabs>
          <w:tab w:val="left" w:leader="none" w:pos="104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（1）</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评审价格：评审价格为按照本章第2.2.2项规定确定的价格；</w:t>
      </w:r>
    </w:p>
    <w:p>
      <w:pPr>
        <w:tabs>
          <w:tab w:val="left" w:leader="none" w:pos="104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评审基准价计算方法：见评审办法前附表；</w:t>
      </w:r>
    </w:p>
    <w:bookmarkStart w:id="10" w:name="bookmark130"/>
    <w:bookmarkStart w:id="11" w:name="_Toc48321176"/>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3.3评分标准</w:t>
      </w:r>
      <w:bookmarkEnd w:id="10"/>
      <w:bookmarkEnd w:id="11"/>
    </w:p>
    <w:p>
      <w:pPr>
        <w:tabs>
          <w:tab w:val="left" w:leader="none" w:pos="102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（1）</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商务评分标准：见评审办法前附表；</w:t>
      </w:r>
    </w:p>
    <w:p>
      <w:pPr>
        <w:tabs>
          <w:tab w:val="left" w:leader="none" w:pos="104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2</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技术评分标准：见评审办法前附表；</w:t>
      </w:r>
    </w:p>
    <w:p>
      <w:pPr>
        <w:tabs>
          <w:tab w:val="left" w:leader="none" w:pos="1040"/>
        </w:tabs>
        <w:spacing w:lineRule="auto" w:line="360"/>
        <w:ind w:firstLine="28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3</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报价评分标准：见评审办法前附表</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w:t>
      </w:r>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3.4评分</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评审小组成员按照评分标准独立对供应商的商务、技术进行评分。报价评分由评审小组统一计算。各项得分汇总后为该成员给供应商的评分总分。评分分值计算保留小数点后两位，小数点后第三位“四舍五人”。</w:t>
      </w:r>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3.5汇总</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评审小组汇总每个成员对供应商的评分总分，每个供应商的评分总分的算术平均值为供应商最终得分。</w:t>
      </w:r>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3.6排序</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对供应商最终得分进行比较后，可以按照供应商最终得分由高到低的顺序对供应商排序。最终得分相等时，以评审价格低的优先；评审价格也相等的，以技术得分髙的优先；如果技术得分也相等，按照评审办法前附表的规定确定供应商优先顺序。</w:t>
      </w:r>
    </w:p>
    <w:bookmarkStart w:id="12" w:name="bookmark131"/>
    <w:bookmarkStart w:id="13" w:name="_Toc48321177"/>
    <w:p>
      <w:pPr>
        <w:keepNext/>
        <w:keepLines/>
        <w:shd w:val="clear" w:color="ffffff" w:fill="auto"/>
        <w:spacing w:lineRule="auto" w:line="720"/>
        <w:jc w:val="left"/>
        <w:outlineLvl w:val="3"/>
        <w:rPr/>
      </w:pPr>
      <w:r>
        <w:rPr>
          <w:rFonts w:ascii="宋体" w:cs="宋体" w:eastAsia="宋体" w:hAnsi="宋体" w:hint="default"/>
          <w:b w:val="false"/>
          <w:bCs w:val="false"/>
          <w:i w:val="false"/>
          <w:iCs w:val="false"/>
          <w:color w:val="000000"/>
          <w:spacing w:val="0"/>
          <w:w w:val="100"/>
          <w:kern w:val="0"/>
          <w:position w:val="0"/>
          <w:sz w:val="32"/>
          <w:szCs w:val="32"/>
          <w:highlight w:val="none"/>
          <w:vertAlign w:val="baseline"/>
          <w:em w:val="none"/>
          <w:lang w:val="zh-TW" w:bidi="ar-SA" w:eastAsia="zh-TW"/>
        </w:rPr>
        <w:t>4评审结果</w:t>
      </w:r>
      <w:bookmarkEnd w:id="12"/>
      <w:bookmarkEnd w:id="13"/>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4.1提交书面评审报告</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评审小组完成评审后，应当向采购人提交书面评审报告。</w:t>
      </w:r>
    </w:p>
    <w:p>
      <w:pPr>
        <w:shd w:val="clear" w:color="ffffff" w:fill="auto"/>
        <w:spacing w:lineRule="auto" w:line="600"/>
        <w:jc w:val="left"/>
        <w:rPr/>
      </w:pPr>
      <w:r>
        <w:rPr>
          <w:rFonts w:ascii="宋体" w:cs="宋体" w:eastAsia="宋体" w:hAnsi="宋体" w:hint="default"/>
          <w:b/>
          <w:bCs/>
          <w:i w:val="false"/>
          <w:iCs w:val="false"/>
          <w:color w:val="000000"/>
          <w:spacing w:val="0"/>
          <w:w w:val="100"/>
          <w:kern w:val="0"/>
          <w:position w:val="0"/>
          <w:sz w:val="28"/>
          <w:szCs w:val="28"/>
          <w:highlight w:val="none"/>
          <w:vertAlign w:val="baseline"/>
          <w:em w:val="none"/>
          <w:lang w:val="zh-TW" w:bidi="ar-SA" w:eastAsia="zh-TW"/>
        </w:rPr>
        <w:t>4.2推荐候选成交供应商排序要求及数量</w:t>
      </w:r>
    </w:p>
    <w:p>
      <w:pPr>
        <w:spacing w:lineRule="auto" w:line="360"/>
        <w:ind w:firstLine="480" w:firstLineChars="200"/>
        <w:jc w:val="left"/>
        <w:rPr/>
      </w:pP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评审小组应在书面评审报告中按照供应商排列的优先顺序向采购人推荐候选成交供应商</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CN"/>
        </w:rPr>
        <w:t>并</w:t>
      </w:r>
      <w:r>
        <w:rPr>
          <w:rFonts w:ascii="宋体" w:cs="宋体" w:eastAsia="宋体" w:hAnsi="宋体" w:hint="default"/>
          <w:b w:val="false"/>
          <w:bCs w:val="false"/>
          <w:i w:val="false"/>
          <w:iCs w:val="false"/>
          <w:color w:val="000000"/>
          <w:spacing w:val="0"/>
          <w:w w:val="100"/>
          <w:kern w:val="0"/>
          <w:position w:val="0"/>
          <w:sz w:val="24"/>
          <w:szCs w:val="24"/>
          <w:highlight w:val="none"/>
          <w:vertAlign w:val="baseline"/>
          <w:em w:val="none"/>
          <w:lang w:val="zh-TW" w:bidi="ar-SA" w:eastAsia="zh-TW"/>
        </w:rPr>
        <w:t>排序。候选成交供应商的排序要求及数量见第二章“供应商须知”。</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仿宋_GB2312">
    <w:altName w:val="Times New Roman"/>
    <w:panose1 w:val="02020603050000020304"/>
    <w:charset w:val="00"/>
    <w:family w:val="roman"/>
    <w:pitch w:val="variable"/>
    <w:sig w:usb0="20007A87" w:usb1="80000000" w:usb2="00000008" w:usb3="00000000" w:csb0="000001FF" w:csb1="00000000"/>
  </w:font>
  <w:font w:name="黑体">
    <w:altName w:val="宋体"/>
    <w:panose1 w:val="02010600030000010101"/>
    <w:charset w:val="7a"/>
    <w:family w:val="auto"/>
    <w:pitch w:val="default"/>
    <w:sig w:usb0="00000003" w:usb1="080E0000" w:usb2="00000000" w:usb3="00000000" w:csb0="00040001" w:csb1="00000000"/>
  </w:font>
  <w:font w:name="MingLiU">
    <w:altName w:val="Times New Roman"/>
    <w:panose1 w:val="02020603050000020304"/>
    <w:charset w:val="00"/>
    <w:family w:val="roman"/>
    <w:pitch w:val="variable"/>
    <w:sig w:usb0="20007A87" w:usb1="80000000" w:usb2="00000008" w:usb3="00000000" w:csb0="000001FF" w:csb1="00000000"/>
  </w:font>
  <w:font w:name="华文中宋">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widowControl w:val="false"/>
      <w:tabs>
        <w:tab w:val="center" w:leader="none" w:pos="4140"/>
        <w:tab w:val="right" w:leader="none" w:pos="8300"/>
      </w:tabs>
      <w:snapToGrid w:val="false"/>
      <w:spacing w:after="0"/>
      <w:jc w:val="left"/>
    </w:pPr>
    <w:rPr>
      <w:rFonts w:ascii="Times New Roman" w:cs="Times New Roman" w:eastAsia="宋体" w:hAnsi="Times New Roman"/>
      <w:kern w:val="2"/>
      <w:sz w:val="18"/>
      <w:lang w:val="en-US" w:bidi="ar-SA" w:eastAsia="zh-CN"/>
    </w:rPr>
  </w:style>
  <w:style w:type="paragraph" w:customStyle="1" w:styleId="style4097">
    <w:name w:val="&quot;正 文&quot;"/>
    <w:basedOn w:val="style0"/>
    <w:next w:val="style4097"/>
    <w:pPr>
      <w:widowControl w:val="false"/>
      <w:spacing w:after="0" w:lineRule="auto" w:line="360"/>
      <w:ind w:firstLine="540" w:firstLineChars="230"/>
      <w:jc w:val="both"/>
    </w:pPr>
    <w:rPr>
      <w:rFonts w:ascii="Times New Roman" w:cs="Times New Roman" w:eastAsia="仿宋_GB2312" w:hAnsi="Times New Roman"/>
      <w:kern w:val="2"/>
      <w:sz w:val="21"/>
      <w:lang w:val="en-US" w:bidi="ar-SA" w:eastAsia="zh-CN"/>
    </w:rPr>
  </w:style>
  <w:style w:type="paragraph" w:styleId="style82">
    <w:name w:val="Body Text Indent 2"/>
    <w:basedOn w:val="style0"/>
    <w:next w:val="style82"/>
    <w:pPr>
      <w:widowControl w:val="false"/>
      <w:spacing w:after="0"/>
      <w:ind w:firstLine="1040" w:firstLineChars="200"/>
      <w:jc w:val="center"/>
    </w:pPr>
    <w:rPr>
      <w:rFonts w:ascii="黑体" w:cs="黑体" w:eastAsia="黑体" w:hAnsi="Times New Roman"/>
      <w:kern w:val="2"/>
      <w:sz w:val="52"/>
      <w:lang w:val="en-US" w:bidi="ar-SA" w:eastAsia="zh-CN"/>
    </w:rPr>
  </w:style>
  <w:style w:type="paragraph" w:customStyle="1" w:styleId="style4098">
    <w:name w:val="&quot;标题 #4&quot;"/>
    <w:basedOn w:val="style0"/>
    <w:next w:val="style4098"/>
    <w:pPr>
      <w:widowControl w:val="false"/>
      <w:shd w:val="clear" w:color="ffffff" w:fill="ffffff"/>
      <w:spacing w:after="0" w:lineRule="exact" w:line="616"/>
      <w:jc w:val="left"/>
      <w:outlineLvl w:val="3"/>
    </w:pPr>
    <w:rPr>
      <w:rFonts w:ascii="MingLiU" w:cs="MingLiU" w:eastAsia="MingLiU" w:hAnsi="MingLiU"/>
      <w:b/>
      <w:bCs/>
      <w:spacing w:val="20"/>
      <w:kern w:val="0"/>
      <w:sz w:val="26"/>
      <w:lang w:val="en-US" w:bidi="ar-SA" w:eastAsia="zh-CN"/>
    </w:rPr>
  </w:style>
  <w:style w:type="paragraph" w:styleId="style20">
    <w:name w:val="toc 2"/>
    <w:basedOn w:val="style0"/>
    <w:next w:val="style20"/>
    <w:pPr>
      <w:widowControl w:val="false"/>
      <w:tabs>
        <w:tab w:val="right" w:leader="middleDot" w:pos="9020"/>
      </w:tabs>
      <w:spacing w:after="0" w:lineRule="auto" w:line="480"/>
      <w:ind w:firstLine="480" w:firstLineChars="200"/>
      <w:jc w:val="both"/>
    </w:pPr>
    <w:rPr>
      <w:rFonts w:ascii="Arial" w:cs="Arial" w:eastAsia="黑体" w:hAnsi="黑体"/>
      <w:kern w:val="2"/>
      <w:sz w:val="24"/>
      <w:szCs w:val="24"/>
      <w:lang w:val="en-US" w:bidi="ar-SA" w:eastAsia="zh-CN"/>
    </w:rPr>
  </w:style>
  <w:style w:type="paragraph" w:styleId="style19">
    <w:name w:val="toc 1"/>
    <w:basedOn w:val="style0"/>
    <w:next w:val="style19"/>
    <w:pPr>
      <w:widowControl w:val="false"/>
      <w:tabs>
        <w:tab w:val="left" w:leader="none" w:pos="1260"/>
        <w:tab w:val="left" w:leader="none" w:pos="1680"/>
        <w:tab w:val="right" w:leader="dot" w:pos="8400"/>
      </w:tabs>
      <w:spacing w:after="0"/>
      <w:ind w:firstLine="280" w:firstLineChars="100"/>
      <w:jc w:val="both"/>
    </w:pPr>
    <w:rPr>
      <w:rFonts w:ascii="Times New Roman" w:cs="Times New Roman" w:eastAsia="宋体" w:hAnsi="Times New Roman"/>
      <w:kern w:val="2"/>
      <w:sz w:val="28"/>
      <w:lang w:val="en-US" w:bidi="ar-SA" w:eastAsia="zh-CN"/>
    </w:rPr>
  </w:style>
  <w:style w:type="paragraph" w:styleId="style66">
    <w:name w:val="Body Text"/>
    <w:basedOn w:val="style0"/>
    <w:next w:val="style66"/>
    <w:pPr>
      <w:widowControl w:val="false"/>
      <w:spacing w:after="0"/>
      <w:jc w:val="both"/>
    </w:pPr>
    <w:rPr>
      <w:rFonts w:ascii="Times New Roman" w:cs="Times New Roman" w:eastAsia="仿宋_GB2312" w:hAnsi="Times New Roman"/>
      <w:kern w:val="2"/>
      <w:sz w:val="32"/>
      <w:lang w:val="en-US" w:bidi="ar-SA" w:eastAsia="zh-CN"/>
    </w:rPr>
  </w:style>
  <w:style w:type="paragraph" w:customStyle="1" w:styleId="style4099">
    <w:name w:val="&quot;样式 正文（首行缩进两字） + 宋体 小四&quot;"/>
    <w:basedOn w:val="style28"/>
    <w:next w:val="style4099"/>
    <w:pPr>
      <w:widowControl w:val="false"/>
      <w:spacing w:after="0" w:lineRule="atLeast" w:line="100"/>
      <w:ind w:firstLine="600" w:firstLineChars="192"/>
      <w:jc w:val="left"/>
    </w:pPr>
    <w:rPr>
      <w:rFonts w:ascii="仿宋_GB2312" w:cs="仿宋_GB2312" w:eastAsia="仿宋_GB2312" w:hAnsi="宋体"/>
      <w:kern w:val="2"/>
      <w:sz w:val="32"/>
      <w:lang w:val="en-US" w:bidi="ar-SA" w:eastAsia="zh-CN"/>
    </w:rPr>
  </w:style>
  <w:style w:type="paragraph" w:customStyle="1" w:styleId="style4100">
    <w:name w:val="&quot;无间隔1&quot;"/>
    <w:next w:val="style4100"/>
    <w:pPr>
      <w:spacing w:after="0"/>
    </w:pPr>
    <w:rPr>
      <w:rFonts w:ascii="Times New Roman" w:cs="Times New Roman" w:eastAsia="宋体" w:hAnsi="Times New Roman"/>
      <w:sz w:val="22"/>
      <w:szCs w:val="22"/>
      <w:lang w:val="en-US" w:bidi="ar-SA" w:eastAsia="zh-CN"/>
    </w:rPr>
  </w:style>
  <w:style w:type="paragraph" w:styleId="style1">
    <w:name w:val="heading 1"/>
    <w:basedOn w:val="style0"/>
    <w:next w:val="style1"/>
    <w:pPr>
      <w:keepNext/>
      <w:keepLines/>
      <w:widowControl w:val="false"/>
      <w:spacing w:before="340" w:after="330" w:lineRule="auto" w:line="578"/>
      <w:ind w:left="0" w:right="0"/>
      <w:jc w:val="both"/>
      <w:outlineLvl w:val="0"/>
    </w:pPr>
    <w:rPr>
      <w:rFonts w:ascii="Times New Roman" w:cs="Times New Roman" w:eastAsia="宋体" w:hAnsi="Times New Roman"/>
      <w:b/>
      <w:bCs/>
      <w:kern w:val="44"/>
      <w:sz w:val="44"/>
      <w:szCs w:val="44"/>
      <w:lang w:val="en-US" w:bidi="ar-SA" w:eastAsia="zh-CN"/>
    </w:rPr>
  </w:style>
  <w:style w:type="paragraph" w:styleId="style2">
    <w:name w:val="heading 2"/>
    <w:basedOn w:val="style0"/>
    <w:next w:val="style2"/>
    <w:pPr>
      <w:keepNext/>
      <w:keepLines/>
      <w:widowControl w:val="false"/>
      <w:spacing w:before="260" w:after="260" w:lineRule="auto" w:line="415"/>
      <w:ind w:left="0" w:right="0"/>
      <w:jc w:val="both"/>
      <w:outlineLvl w:val="1"/>
    </w:pPr>
    <w:rPr>
      <w:rFonts w:ascii="Arial" w:cs="Arial" w:eastAsia="黑体" w:hAnsi="Arial"/>
      <w:b/>
      <w:bCs/>
      <w:kern w:val="2"/>
      <w:sz w:val="32"/>
      <w:szCs w:val="32"/>
      <w:lang w:val="en-US" w:bidi="ar-SA" w:eastAsia="zh-CN"/>
    </w:rPr>
  </w:style>
  <w:style w:type="paragraph" w:customStyle="1" w:styleId="style4101">
    <w:name w:val="&quot;样式 WG标题2 + 行距: 固定值 18 磅&quot;"/>
    <w:basedOn w:val="style0"/>
    <w:next w:val="style4101"/>
    <w:pPr>
      <w:widowControl w:val="false"/>
      <w:autoSpaceDE w:val="false"/>
      <w:autoSpaceDN w:val="false"/>
      <w:adjustRightInd w:val="false"/>
      <w:spacing w:after="0" w:lineRule="exact" w:line="360"/>
      <w:jc w:val="both"/>
      <w:outlineLvl w:val="1"/>
    </w:pPr>
    <w:rPr>
      <w:rFonts w:ascii="仿宋_GB2312" w:cs="宋体" w:eastAsia="宋体" w:hAnsi="宋体"/>
      <w:b/>
      <w:bCs/>
      <w:color w:val="000000"/>
      <w:kern w:val="20"/>
      <w:sz w:val="24"/>
      <w:lang w:val="en-US" w:bidi="ar-SA" w:eastAsia="zh-CN"/>
    </w:rPr>
  </w:style>
  <w:style w:type="paragraph" w:styleId="style3">
    <w:name w:val="heading 3"/>
    <w:basedOn w:val="style0"/>
    <w:next w:val="style3"/>
    <w:pPr>
      <w:keepNext/>
      <w:keepLines/>
      <w:widowControl w:val="false"/>
      <w:spacing w:before="260" w:after="260" w:lineRule="auto" w:line="412"/>
      <w:ind w:left="0" w:right="0"/>
      <w:jc w:val="both"/>
      <w:outlineLvl w:val="2"/>
    </w:pPr>
    <w:rPr>
      <w:rFonts w:ascii="Times New Roman" w:cs="Times New Roman" w:eastAsia="宋体" w:hAnsi="Times New Roman"/>
      <w:b/>
      <w:bCs/>
      <w:kern w:val="2"/>
      <w:sz w:val="32"/>
      <w:lang w:val="en-US" w:bidi="ar-SA" w:eastAsia="zh-CN"/>
    </w:rPr>
  </w:style>
  <w:style w:type="paragraph" w:styleId="style29">
    <w:name w:val="footnote text"/>
    <w:basedOn w:val="style0"/>
    <w:next w:val="style29"/>
    <w:pPr>
      <w:widowControl w:val="false"/>
      <w:snapToGrid w:val="false"/>
      <w:spacing w:after="0"/>
      <w:jc w:val="left"/>
    </w:pPr>
    <w:rPr>
      <w:rFonts w:ascii="Times New Roman" w:cs="Times New Roman" w:eastAsia="宋体" w:hAnsi="Times New Roman"/>
      <w:kern w:val="2"/>
      <w:sz w:val="18"/>
      <w:lang w:val="en-US" w:bidi="ar-SA" w:eastAsia="zh-CN"/>
    </w:rPr>
  </w:style>
  <w:style w:type="paragraph" w:styleId="style28">
    <w:name w:val="Normal Indent"/>
    <w:basedOn w:val="style0"/>
    <w:next w:val="style28"/>
    <w:pPr>
      <w:widowControl w:val="false"/>
      <w:spacing w:after="0"/>
      <w:ind w:firstLine="420" w:firstLineChars="200"/>
      <w:jc w:val="both"/>
    </w:pPr>
    <w:rPr>
      <w:rFonts w:ascii="Times New Roman" w:cs="Times New Roman" w:eastAsia="宋体" w:hAnsi="Times New Roman"/>
      <w:kern w:val="2"/>
      <w:sz w:val="21"/>
      <w:lang w:val="en-US" w:bidi="ar-SA" w:eastAsia="zh-CN"/>
    </w:rPr>
  </w:style>
  <w:style w:type="paragraph" w:styleId="style31">
    <w:name w:val="header"/>
    <w:basedOn w:val="style0"/>
    <w:next w:val="style31"/>
    <w:pPr>
      <w:widowControl w:val="false"/>
      <w:pBdr>
        <w:bottom w:val="single" w:sz="6" w:space="1" w:color="auto"/>
      </w:pBdr>
      <w:tabs>
        <w:tab w:val="center" w:leader="none" w:pos="4140"/>
        <w:tab w:val="right" w:leader="none" w:pos="8300"/>
      </w:tabs>
      <w:snapToGrid w:val="false"/>
      <w:spacing w:after="0"/>
      <w:jc w:val="center"/>
    </w:pPr>
    <w:rPr>
      <w:rFonts w:ascii="Times New Roman" w:cs="Times New Roman" w:eastAsia="宋体" w:hAnsi="Times New Roman"/>
      <w:kern w:val="2"/>
      <w:sz w:val="18"/>
      <w:lang w:val="en-US" w:bidi="ar-SA" w:eastAsia="zh-CN"/>
    </w:rPr>
  </w:style>
  <w:style w:type="character" w:styleId="style38">
    <w:name w:val="footnote reference"/>
    <w:basedOn w:val="style65"/>
    <w:next w:val="style38"/>
    <w:rPr>
      <w:rFonts w:ascii="Times New Roman" w:cs="Times New Roman" w:eastAsia="宋体" w:hAnsi="Times New Roman"/>
      <w:sz w:val="21"/>
      <w:vertAlign w:val="superscript"/>
    </w:rPr>
  </w:style>
  <w:style w:type="character" w:styleId="style41">
    <w:name w:val="page number"/>
    <w:basedOn w:val="style65"/>
    <w:next w:val="style41"/>
    <w:rPr>
      <w:rFonts w:ascii="Times New Roman" w:cs="Times New Roman" w:eastAsia="宋体" w:hAnsi="Times New Roman"/>
      <w:sz w:val="21"/>
    </w:rPr>
  </w:style>
  <w:style w:type="paragraph" w:customStyle="1" w:styleId="style4102">
    <w:name w:val="&quot;正文文本 (13)&quot;"/>
    <w:basedOn w:val="style0"/>
    <w:next w:val="style4102"/>
    <w:pPr>
      <w:widowControl w:val="false"/>
      <w:shd w:val="clear" w:color="ffffff" w:fill="ffffff"/>
      <w:spacing w:after="0" w:lineRule="atLeast" w:line="240"/>
      <w:jc w:val="distribute"/>
    </w:pPr>
    <w:rPr>
      <w:rFonts w:ascii="MingLiU" w:cs="MingLiU" w:eastAsia="MingLiU" w:hAnsi="MingLiU"/>
      <w:spacing w:val="20"/>
      <w:kern w:val="0"/>
      <w:sz w:val="23"/>
      <w:lang w:val="en-US" w:bidi="ar-SA" w:eastAsia="zh-CN"/>
    </w:rPr>
  </w:style>
  <w:style w:type="character" w:styleId="style85">
    <w:name w:val="Hyperlink"/>
    <w:basedOn w:val="style65"/>
    <w:next w:val="style85"/>
    <w:rPr>
      <w:rFonts w:ascii="Times New Roman" w:cs="Times New Roman" w:eastAsia="宋体" w:hAnsi="Times New Roman"/>
      <w:color w:val="0000ff"/>
      <w:sz w:val="21"/>
      <w:u w:val="single"/>
    </w:rPr>
  </w:style>
  <w:style w:type="paragraph" w:customStyle="1" w:styleId="style4103">
    <w:name w:val="&quot;6'&quot;"/>
    <w:basedOn w:val="style0"/>
    <w:next w:val="style4103"/>
    <w:pPr>
      <w:widowControl w:val="false"/>
      <w:autoSpaceDE w:val="false"/>
      <w:autoSpaceDN w:val="false"/>
      <w:adjustRightInd w:val="false"/>
      <w:snapToGrid w:val="false"/>
      <w:spacing w:after="0" w:lineRule="exact" w:line="320"/>
      <w:jc w:val="center"/>
    </w:pPr>
    <w:rPr>
      <w:rFonts w:ascii="Times New Roman" w:cs="Times New Roman" w:eastAsia="宋体" w:hAnsi="Times New Roman"/>
      <w:spacing w:val="20"/>
      <w:kern w:val="28"/>
      <w:sz w:val="21"/>
      <w:lang w:val="en-US" w:bidi="ar-SA" w:eastAsia="zh-CN"/>
    </w:rPr>
  </w:style>
  <w:style w:type="paragraph" w:customStyle="1" w:styleId="style4109">
    <w:name w:val="&quot;样式 正文（首行缩进两字） + 宋体 小四&quot;"/>
    <w:basedOn w:val="style28"/>
    <w:next w:val="style4094"/>
    <w:pPr>
      <w:widowControl w:val="false"/>
      <w:spacing w:after="0" w:lineRule="atLeast" w:line="100"/>
      <w:ind w:firstLine="600" w:firstLineChars="192"/>
      <w:jc w:val="left"/>
    </w:pPr>
    <w:rPr>
      <w:rFonts w:ascii="仿宋_GB2312" w:cs="仿宋_GB2312" w:eastAsia="仿宋_GB2312" w:hAnsi="宋体"/>
      <w:kern w:val="2"/>
      <w:sz w:val="32"/>
      <w:lang w:val="en-US" w:bidi="ar-SA" w:eastAsia="zh-CN"/>
    </w:rPr>
  </w:style>
  <w:style w:type="paragraph" w:customStyle="1" w:styleId="style4105">
    <w:name w:val="&quot;无间隔1&quot;"/>
    <w:next w:val="style4094"/>
    <w:pPr>
      <w:spacing w:after="0"/>
    </w:pPr>
    <w:rPr>
      <w:rFonts w:ascii="Times New Roman" w:cs="Times New Roman" w:eastAsia="宋体" w:hAnsi="Times New Roman"/>
      <w:sz w:val="22"/>
      <w:szCs w:val="22"/>
      <w:lang w:val="en-US" w:bidi="ar-SA" w:eastAsia="zh-CN"/>
    </w:rPr>
  </w:style>
  <w:style w:type="paragraph" w:customStyle="1" w:styleId="style4108">
    <w:name w:val="&quot;样式 WG标题2 + 行距: 固定值 18 磅&quot;"/>
    <w:basedOn w:val="style0"/>
    <w:next w:val="style4094"/>
    <w:pPr>
      <w:widowControl w:val="false"/>
      <w:autoSpaceDE w:val="false"/>
      <w:autoSpaceDN w:val="false"/>
      <w:adjustRightInd w:val="false"/>
      <w:spacing w:after="0" w:lineRule="exact" w:line="360"/>
      <w:jc w:val="both"/>
      <w:outlineLvl w:val="1"/>
    </w:pPr>
    <w:rPr>
      <w:rFonts w:ascii="仿宋_GB2312" w:cs="宋体" w:eastAsia="宋体" w:hAnsi="宋体"/>
      <w:b/>
      <w:bCs/>
      <w:color w:val="000000"/>
      <w:kern w:val="20"/>
      <w:sz w:val="24"/>
      <w:lang w:val="en-US" w:bidi="ar-SA" w:eastAsia="zh-CN"/>
    </w:rPr>
  </w:style>
  <w:style w:type="paragraph" w:customStyle="1" w:styleId="style4104">
    <w:name w:val="&quot;正 文&quot;"/>
    <w:basedOn w:val="style0"/>
    <w:next w:val="style4094"/>
    <w:pPr>
      <w:widowControl w:val="false"/>
      <w:spacing w:after="0" w:lineRule="auto" w:line="360"/>
      <w:ind w:firstLine="540" w:firstLineChars="230"/>
      <w:jc w:val="both"/>
    </w:pPr>
    <w:rPr>
      <w:rFonts w:ascii="Times New Roman" w:cs="Times New Roman" w:eastAsia="仿宋_GB2312" w:hAnsi="Times New Roman"/>
      <w:kern w:val="2"/>
      <w:sz w:val="21"/>
      <w:lang w:val="en-US" w:bidi="ar-SA" w:eastAsia="zh-CN"/>
    </w:rPr>
  </w:style>
  <w:style w:type="paragraph" w:customStyle="1" w:styleId="style4106">
    <w:name w:val="&quot;标题 #4&quot;"/>
    <w:basedOn w:val="style0"/>
    <w:next w:val="style4094"/>
    <w:pPr>
      <w:widowControl w:val="false"/>
      <w:shd w:val="clear" w:color="ffffff" w:fill="ffffff"/>
      <w:spacing w:after="0" w:lineRule="exact" w:line="616"/>
      <w:jc w:val="left"/>
      <w:outlineLvl w:val="3"/>
    </w:pPr>
    <w:rPr>
      <w:rFonts w:ascii="MingLiU" w:cs="MingLiU" w:eastAsia="MingLiU" w:hAnsi="MingLiU"/>
      <w:b/>
      <w:bCs/>
      <w:spacing w:val="20"/>
      <w:kern w:val="0"/>
      <w:sz w:val="26"/>
      <w:lang w:val="en-US" w:bidi="ar-SA" w:eastAsia="zh-CN"/>
    </w:rPr>
  </w:style>
  <w:style w:type="paragraph" w:customStyle="1" w:styleId="style4107">
    <w:name w:val="&quot;正文文本 (13)&quot;"/>
    <w:basedOn w:val="style0"/>
    <w:next w:val="style4094"/>
    <w:pPr>
      <w:widowControl w:val="false"/>
      <w:shd w:val="clear" w:color="ffffff" w:fill="ffffff"/>
      <w:spacing w:after="0" w:lineRule="atLeast" w:line="240"/>
      <w:jc w:val="distribute"/>
    </w:pPr>
    <w:rPr>
      <w:rFonts w:ascii="MingLiU" w:cs="MingLiU" w:eastAsia="MingLiU" w:hAnsi="MingLiU"/>
      <w:spacing w:val="20"/>
      <w:kern w:val="0"/>
      <w:sz w:val="23"/>
      <w:lang w:val="en-US" w:bidi="ar-SA" w:eastAsia="zh-CN"/>
    </w:rPr>
  </w:style>
  <w:style w:type="paragraph" w:customStyle="1" w:styleId="style4110">
    <w:name w:val="&quot;6'&quot;"/>
    <w:basedOn w:val="style0"/>
    <w:next w:val="style4094"/>
    <w:pPr>
      <w:widowControl w:val="false"/>
      <w:autoSpaceDE w:val="false"/>
      <w:autoSpaceDN w:val="false"/>
      <w:adjustRightInd w:val="false"/>
      <w:snapToGrid w:val="false"/>
      <w:spacing w:after="0" w:lineRule="exact" w:line="320"/>
      <w:jc w:val="center"/>
    </w:pPr>
    <w:rPr>
      <w:rFonts w:ascii="Times New Roman" w:cs="Times New Roman" w:eastAsia="宋体" w:hAnsi="Times New Roman"/>
      <w:spacing w:val="20"/>
      <w:kern w:val="28"/>
      <w:sz w:val="21"/>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4114</Words>
  <Characters>4369</Characters>
  <Application>WPS Office</Application>
  <Paragraphs>267</Paragraphs>
  <CharactersWithSpaces>4403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2023-07-24T02:05:46Z</dcterms:created>
  <dc:creator>ELZ-AN10</dc:creator>
  <lastModifiedBy>ELZ-AN10</lastModifiedBy>
  <dcterms:modified xsi:type="dcterms:W3CDTF">2023-07-24T02:14:14Z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04635621728748acb99a08ff6bad233f_21</vt:lpwstr>
  </property>
</Properties>
</file>